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5ECB" w:rsidRDefault="00245ECB" w:rsidP="00D31414">
      <w:pPr>
        <w:jc w:val="center"/>
        <w:rPr>
          <w:b/>
        </w:rPr>
      </w:pPr>
      <w:bookmarkStart w:id="0" w:name="_GoBack"/>
      <w:bookmarkEnd w:id="0"/>
      <w:r>
        <w:rPr>
          <w:b/>
          <w:noProof/>
          <w:lang w:eastAsia="es-MX"/>
        </w:rPr>
        <w:drawing>
          <wp:inline distT="0" distB="0" distL="0" distR="0">
            <wp:extent cx="2094865" cy="438049"/>
            <wp:effectExtent l="0" t="0" r="635" b="63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nuevo.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40466" cy="468495"/>
                    </a:xfrm>
                    <a:prstGeom prst="rect">
                      <a:avLst/>
                    </a:prstGeom>
                  </pic:spPr>
                </pic:pic>
              </a:graphicData>
            </a:graphic>
          </wp:inline>
        </w:drawing>
      </w:r>
    </w:p>
    <w:p w:rsidR="00D31414" w:rsidRPr="00D31414" w:rsidRDefault="00D31414" w:rsidP="00D31414">
      <w:pPr>
        <w:jc w:val="center"/>
        <w:rPr>
          <w:b/>
        </w:rPr>
      </w:pPr>
      <w:r w:rsidRPr="00D31414">
        <w:rPr>
          <w:b/>
        </w:rPr>
        <w:t>HOGAR CABAÑAS.</w:t>
      </w:r>
    </w:p>
    <w:p w:rsidR="0034681B" w:rsidRDefault="00D31414" w:rsidP="00D31414">
      <w:pPr>
        <w:jc w:val="center"/>
        <w:rPr>
          <w:b/>
        </w:rPr>
      </w:pPr>
      <w:r>
        <w:rPr>
          <w:b/>
        </w:rPr>
        <w:t>NOTAS A LOS ESTADOS FINANCIEROS AL 31 DE DICIEMBRE DE 2018.</w:t>
      </w:r>
    </w:p>
    <w:p w:rsidR="00D31414" w:rsidRPr="00723C89" w:rsidRDefault="00D31414" w:rsidP="00D31414">
      <w:pPr>
        <w:jc w:val="center"/>
        <w:rPr>
          <w:b/>
          <w:sz w:val="24"/>
          <w:szCs w:val="24"/>
        </w:rPr>
      </w:pPr>
      <w:r w:rsidRPr="00723C89">
        <w:rPr>
          <w:b/>
          <w:sz w:val="24"/>
          <w:szCs w:val="24"/>
        </w:rPr>
        <w:t>NOTAS DE DESGLOCE</w:t>
      </w:r>
    </w:p>
    <w:p w:rsidR="00D31414" w:rsidRDefault="00D31414" w:rsidP="00D31414">
      <w:pPr>
        <w:pStyle w:val="Prrafodelista"/>
        <w:numPr>
          <w:ilvl w:val="0"/>
          <w:numId w:val="1"/>
        </w:numPr>
        <w:rPr>
          <w:b/>
        </w:rPr>
      </w:pPr>
      <w:r>
        <w:rPr>
          <w:b/>
        </w:rPr>
        <w:t>NOTAS AL ESTADO DE SITUACION FINANCIERA.</w:t>
      </w:r>
    </w:p>
    <w:p w:rsidR="00D31414" w:rsidRPr="00AB4DD6" w:rsidRDefault="00D31414" w:rsidP="00AB4DD6">
      <w:pPr>
        <w:pStyle w:val="Sinespaciado"/>
        <w:rPr>
          <w:b/>
        </w:rPr>
      </w:pPr>
      <w:r w:rsidRPr="00AB4DD6">
        <w:rPr>
          <w:b/>
        </w:rPr>
        <w:t>ACTIVO</w:t>
      </w:r>
    </w:p>
    <w:p w:rsidR="00AB4DD6" w:rsidRPr="00AB4DD6" w:rsidRDefault="00AB4DD6" w:rsidP="00AB4DD6">
      <w:pPr>
        <w:pStyle w:val="Sinespaciado"/>
        <w:rPr>
          <w:b/>
        </w:rPr>
      </w:pPr>
      <w:r w:rsidRPr="00AB4DD6">
        <w:rPr>
          <w:b/>
        </w:rPr>
        <w:t>ACTIVO CIRCULANTE</w:t>
      </w:r>
    </w:p>
    <w:p w:rsidR="00D31414" w:rsidRDefault="00BC1972" w:rsidP="00D31414">
      <w:pPr>
        <w:rPr>
          <w:b/>
        </w:rPr>
      </w:pPr>
      <w:r>
        <w:rPr>
          <w:b/>
        </w:rPr>
        <w:t>-</w:t>
      </w:r>
      <w:r w:rsidR="00D31414">
        <w:rPr>
          <w:b/>
        </w:rPr>
        <w:t>EFECTIVO Y EQUIVALENTES:</w:t>
      </w:r>
    </w:p>
    <w:p w:rsidR="004E2CD3" w:rsidRDefault="00BC1972" w:rsidP="00D31414">
      <w:r>
        <w:t>Este rubro se integra como sigue:</w:t>
      </w:r>
      <w:r w:rsidR="004E2CD3" w:rsidRPr="004E2CD3">
        <w:rPr>
          <w:noProof/>
          <w:lang w:eastAsia="es-MX"/>
        </w:rPr>
        <w:drawing>
          <wp:inline distT="0" distB="0" distL="0" distR="0">
            <wp:extent cx="5612130" cy="5444246"/>
            <wp:effectExtent l="0" t="0" r="7620" b="444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5444246"/>
                    </a:xfrm>
                    <a:prstGeom prst="rect">
                      <a:avLst/>
                    </a:prstGeom>
                    <a:noFill/>
                    <a:ln>
                      <a:noFill/>
                    </a:ln>
                  </pic:spPr>
                </pic:pic>
              </a:graphicData>
            </a:graphic>
          </wp:inline>
        </w:drawing>
      </w:r>
    </w:p>
    <w:p w:rsidR="001F59BB" w:rsidRDefault="001F59BB" w:rsidP="00C944BD">
      <w:pPr>
        <w:jc w:val="both"/>
      </w:pPr>
      <w:r>
        <w:lastRenderedPageBreak/>
        <w:t>Los fondos fijos de caja en 2017 fueron reintegrados y depositados en el banco al final del ejercicio. En el ejercicio de 2018 no fueron reintegrados, ni depositados los fondos fijos de caja, se mantuvieron en resguardo de sus poseedores hasta el ejercicio de 2019.</w:t>
      </w:r>
    </w:p>
    <w:p w:rsidR="001F59BB" w:rsidRDefault="001F59BB" w:rsidP="00C944BD">
      <w:pPr>
        <w:jc w:val="both"/>
      </w:pPr>
      <w:r>
        <w:t>La cuenta Bancaria de Banco Banorte S. A., cta.</w:t>
      </w:r>
      <w:r w:rsidR="00FB1EF6">
        <w:t xml:space="preserve"> no.</w:t>
      </w:r>
      <w:r>
        <w:t xml:space="preserve"> 577817151 es la cuenta usada para pago de gastos en general.</w:t>
      </w:r>
    </w:p>
    <w:p w:rsidR="001F59BB" w:rsidRDefault="001F59BB" w:rsidP="00C944BD">
      <w:pPr>
        <w:jc w:val="both"/>
      </w:pPr>
      <w:r>
        <w:t>La cuenta Bancaria de Banco Banorte, S.A., cta.</w:t>
      </w:r>
      <w:r w:rsidR="00FB1EF6">
        <w:t xml:space="preserve"> no.</w:t>
      </w:r>
      <w:r>
        <w:t xml:space="preserve"> 0448920245 es la cuenta usada para el pago de nómina y gastos inherentes.</w:t>
      </w:r>
      <w:r w:rsidR="00FB1EF6">
        <w:t xml:space="preserve"> Cabe aclarar que el saldo en rojo de esta cuenta se generó por la emisión tardía de un cheque de finiquito, mismo que tuvo efectos 31 </w:t>
      </w:r>
      <w:r w:rsidR="00051B5B">
        <w:t>d</w:t>
      </w:r>
      <w:r w:rsidR="00FB1EF6">
        <w:t>e Diciembre de 2018, pero en realidad su cobro se efectuó durante el mes de Enero de 2019, por lo que no existió sobregiro real en la cuenta.</w:t>
      </w:r>
    </w:p>
    <w:p w:rsidR="001F59BB" w:rsidRDefault="00FB1EF6" w:rsidP="00C944BD">
      <w:pPr>
        <w:jc w:val="both"/>
      </w:pPr>
      <w:r>
        <w:t xml:space="preserve">La cuenta Bancaria de Banco </w:t>
      </w:r>
      <w:proofErr w:type="spellStart"/>
      <w:r>
        <w:t>Bansi</w:t>
      </w:r>
      <w:proofErr w:type="spellEnd"/>
      <w:r>
        <w:t>, S.A.  no. cta. 097195633 esta cuenta fue usada para el pago de retenciones y aportaciones de la Dirección de Pensiones del Estado de Jalisco.</w:t>
      </w:r>
    </w:p>
    <w:p w:rsidR="00FB1EF6" w:rsidRDefault="00FB1EF6" w:rsidP="00C944BD">
      <w:pPr>
        <w:jc w:val="both"/>
      </w:pPr>
      <w:r>
        <w:t xml:space="preserve">La cuenta Bancaria del Banco Banorte, S.A. cta. no. 0594175782 fue usada para recibir los recursos del convenio firmado entre Hogar Cabañas, </w:t>
      </w:r>
      <w:proofErr w:type="spellStart"/>
      <w:r>
        <w:t>Dif</w:t>
      </w:r>
      <w:proofErr w:type="spellEnd"/>
      <w:r>
        <w:t xml:space="preserve"> Jalisco y la Fiscalía del Estado para sufragar los gastos derivados del Programa Albergue Filtro durante el ejercicio de 2018, mismo que recibió recursos del ramo 33 para su implementación.</w:t>
      </w:r>
      <w:r w:rsidR="00C944BD">
        <w:t xml:space="preserve"> Al término del convenio fue cancelada.</w:t>
      </w:r>
    </w:p>
    <w:p w:rsidR="001F59BB" w:rsidRDefault="00FB1EF6" w:rsidP="00C944BD">
      <w:pPr>
        <w:jc w:val="both"/>
      </w:pPr>
      <w:r>
        <w:t>La cuenta Bancaria del Banco Banorte, S.A. cta. no. 1004776661 tuvo como fin recibir los recursos otorg</w:t>
      </w:r>
      <w:r w:rsidR="00C944BD">
        <w:t xml:space="preserve">ados por el </w:t>
      </w:r>
      <w:proofErr w:type="spellStart"/>
      <w:r w:rsidR="00C944BD">
        <w:t>Dif</w:t>
      </w:r>
      <w:proofErr w:type="spellEnd"/>
      <w:r w:rsidR="00C944BD">
        <w:t xml:space="preserve"> Jalisco,</w:t>
      </w:r>
      <w:r w:rsidR="00067A3D">
        <w:t xml:space="preserve"> </w:t>
      </w:r>
      <w:r>
        <w:t xml:space="preserve">para la </w:t>
      </w:r>
      <w:proofErr w:type="spellStart"/>
      <w:r>
        <w:t>sufragación</w:t>
      </w:r>
      <w:proofErr w:type="spellEnd"/>
      <w:r>
        <w:t xml:space="preserve"> de gastos escolares de los pupilos de la Procuraduría de la defensa del menor albergados en el Hogar Cabañas. Estos recursos provinieron del ramo 33.</w:t>
      </w:r>
      <w:r w:rsidR="00C944BD">
        <w:t xml:space="preserve"> Al término del convenio fue cancelada.</w:t>
      </w:r>
    </w:p>
    <w:p w:rsidR="00FB1EF6" w:rsidRDefault="00FB1EF6" w:rsidP="00C944BD">
      <w:pPr>
        <w:jc w:val="both"/>
      </w:pPr>
      <w:r>
        <w:t>La cuenta Bancaria del Banco Banorte, S.A. cta. no. 10047746559 tuvo como fin</w:t>
      </w:r>
      <w:r w:rsidR="00A74473">
        <w:t>alidad</w:t>
      </w:r>
      <w:r>
        <w:t xml:space="preserve"> recibir los recursos otorgados por la Secretaría de Desarrollo e integración Social</w:t>
      </w:r>
      <w:r w:rsidR="00A74473">
        <w:t>,</w:t>
      </w:r>
      <w:r>
        <w:t xml:space="preserve"> para la implementación del programa de comedores comunitarios en el Hogar Cabañas.</w:t>
      </w:r>
      <w:r w:rsidR="00B5283C">
        <w:t xml:space="preserve"> Esta cuenta de inversión </w:t>
      </w:r>
      <w:r w:rsidR="00C944BD">
        <w:t>al final del programa fue cancelada.</w:t>
      </w:r>
    </w:p>
    <w:p w:rsidR="00B5283C" w:rsidRDefault="00B5283C" w:rsidP="00C944BD">
      <w:pPr>
        <w:jc w:val="both"/>
      </w:pPr>
      <w:r>
        <w:t>La cuenta de inversión de Banco Banorte, S.A. no. 0501325828 (portafolio de inversiones a la vista con vencimiento diario) tuvo como finalidad recibir los recursos excedentes de la cuenta de Subsidio estatal a fin de optimizar su uso y manejo.</w:t>
      </w:r>
    </w:p>
    <w:p w:rsidR="001F59BB" w:rsidRPr="00A74473" w:rsidRDefault="00A74473" w:rsidP="00C944BD">
      <w:pPr>
        <w:jc w:val="both"/>
      </w:pPr>
      <w:r>
        <w:t xml:space="preserve">La cuenta de inversión de Banco Banorte, S.A. no. </w:t>
      </w:r>
      <w:r w:rsidR="00B5283C">
        <w:t>0501325792 (portafolio de inversiones a la vista con vencimiento diario), tuvo como finalidad recibir los recursos excedentes de la cuenta de gastos en general, a fin de obtener productos financieros de dichos excedentes.</w:t>
      </w:r>
    </w:p>
    <w:p w:rsidR="00A74473" w:rsidRPr="00D31414" w:rsidRDefault="00A74473" w:rsidP="00D31414">
      <w:pPr>
        <w:rPr>
          <w:b/>
        </w:rPr>
      </w:pPr>
    </w:p>
    <w:p w:rsidR="00C944BD" w:rsidRDefault="00C944BD" w:rsidP="00D31414">
      <w:pPr>
        <w:rPr>
          <w:b/>
        </w:rPr>
      </w:pPr>
    </w:p>
    <w:p w:rsidR="00C944BD" w:rsidRDefault="00C944BD" w:rsidP="00D31414">
      <w:pPr>
        <w:rPr>
          <w:b/>
        </w:rPr>
      </w:pPr>
    </w:p>
    <w:p w:rsidR="00C944BD" w:rsidRDefault="00C944BD" w:rsidP="00D31414">
      <w:pPr>
        <w:rPr>
          <w:b/>
        </w:rPr>
      </w:pPr>
    </w:p>
    <w:p w:rsidR="00C944BD" w:rsidRDefault="00C944BD" w:rsidP="00D31414">
      <w:pPr>
        <w:rPr>
          <w:b/>
        </w:rPr>
      </w:pPr>
    </w:p>
    <w:p w:rsidR="00C944BD" w:rsidRDefault="00C944BD" w:rsidP="00D31414">
      <w:pPr>
        <w:rPr>
          <w:b/>
        </w:rPr>
      </w:pPr>
    </w:p>
    <w:p w:rsidR="00C944BD" w:rsidRDefault="00C944BD" w:rsidP="00D31414">
      <w:pPr>
        <w:rPr>
          <w:b/>
        </w:rPr>
      </w:pPr>
    </w:p>
    <w:p w:rsidR="00C944BD" w:rsidRDefault="00C944BD" w:rsidP="00D31414">
      <w:pPr>
        <w:rPr>
          <w:b/>
        </w:rPr>
      </w:pPr>
    </w:p>
    <w:p w:rsidR="00D31414" w:rsidRDefault="00BC1972" w:rsidP="00D31414">
      <w:pPr>
        <w:rPr>
          <w:b/>
        </w:rPr>
      </w:pPr>
      <w:r>
        <w:rPr>
          <w:b/>
        </w:rPr>
        <w:t>-DERECHOS A RECIBIR EFECTIVO Y EQUIVAL</w:t>
      </w:r>
      <w:r w:rsidR="00AB4DD6">
        <w:rPr>
          <w:b/>
        </w:rPr>
        <w:t>ENT</w:t>
      </w:r>
      <w:r>
        <w:rPr>
          <w:b/>
        </w:rPr>
        <w:t>ES.</w:t>
      </w:r>
    </w:p>
    <w:p w:rsidR="00BC1972" w:rsidRPr="00BC1972" w:rsidRDefault="00BC1972" w:rsidP="00D31414">
      <w:r w:rsidRPr="00BC1972">
        <w:t>Este rubro se compone de lo siguiente:</w:t>
      </w:r>
    </w:p>
    <w:p w:rsidR="00723C89" w:rsidRDefault="003F0EE2" w:rsidP="00D31414">
      <w:pPr>
        <w:rPr>
          <w:b/>
        </w:rPr>
      </w:pPr>
      <w:r w:rsidRPr="003F0EE2">
        <w:rPr>
          <w:noProof/>
          <w:lang w:eastAsia="es-MX"/>
        </w:rPr>
        <w:drawing>
          <wp:inline distT="0" distB="0" distL="0" distR="0">
            <wp:extent cx="5612130" cy="4811541"/>
            <wp:effectExtent l="0" t="0" r="7620"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4811541"/>
                    </a:xfrm>
                    <a:prstGeom prst="rect">
                      <a:avLst/>
                    </a:prstGeom>
                    <a:noFill/>
                    <a:ln>
                      <a:noFill/>
                    </a:ln>
                  </pic:spPr>
                </pic:pic>
              </a:graphicData>
            </a:graphic>
          </wp:inline>
        </w:drawing>
      </w:r>
    </w:p>
    <w:p w:rsidR="00C944BD" w:rsidRDefault="00C944BD" w:rsidP="00D31414">
      <w:r>
        <w:t>Los Deudores diversos Luis Enrique Salazar Gutiérrez, Javier González Martínez, Freddy Martínez, Mario Cuesta, Santiago Paredes Castillo y Marco Antonio Pedroza corresponden a multas e infracciones realizadas que aún no han sido liquidadas.</w:t>
      </w:r>
    </w:p>
    <w:p w:rsidR="00CE7B43" w:rsidRDefault="00C944BD" w:rsidP="00D31414">
      <w:r>
        <w:t>Los Deudores Diversos “Personal del Hogar Cabañas” corresponden a adeudos de empleados por el pago proporcional del Seguro de vida que fue contratado, mismo que será descontado en la primera quincena del mes de Enero de 2019.</w:t>
      </w:r>
    </w:p>
    <w:p w:rsidR="003B6B0E" w:rsidRDefault="00AD6538" w:rsidP="003B6B0E">
      <w:r>
        <w:t xml:space="preserve">El deudor diverso “Varios” corresponde al adeudo por duplicidad en pago a Bimbo, S.A. y Distribuidora </w:t>
      </w:r>
      <w:proofErr w:type="spellStart"/>
      <w:r>
        <w:t>Calzaman</w:t>
      </w:r>
      <w:proofErr w:type="spellEnd"/>
      <w:r>
        <w:t xml:space="preserve">, S.A. </w:t>
      </w:r>
    </w:p>
    <w:p w:rsidR="00CE7B43" w:rsidRDefault="00CE7B43" w:rsidP="005F5835">
      <w:pPr>
        <w:jc w:val="both"/>
      </w:pPr>
      <w:r>
        <w:lastRenderedPageBreak/>
        <w:t>El deudor Mayra Algarín su adeudo se refiere al cobro bancario de devolución de 2 cheques imputables a su encargo. El área Jurídica se encarga de llevarle a cabo un procedimiento administrativo para la recuperación de dicho pago.</w:t>
      </w:r>
    </w:p>
    <w:p w:rsidR="005533A9" w:rsidRDefault="005533A9" w:rsidP="005F5835">
      <w:pPr>
        <w:jc w:val="both"/>
      </w:pPr>
      <w:r>
        <w:t>El deudor diver</w:t>
      </w:r>
      <w:r w:rsidR="00C95CB4">
        <w:t xml:space="preserve">so “Banorte, S.A.” corresponde </w:t>
      </w:r>
      <w:r w:rsidR="002D24B3">
        <w:t xml:space="preserve">a la retención de ISR por intereses efectuada por el mes de Noviembre de 2018 misma que no debió haberse efectuado. </w:t>
      </w:r>
    </w:p>
    <w:p w:rsidR="00AB4DD6" w:rsidRPr="00CE7B43" w:rsidRDefault="00CE7B43" w:rsidP="005F5835">
      <w:pPr>
        <w:jc w:val="both"/>
      </w:pPr>
      <w:r>
        <w:t>El deudor SEPAF manifestado, corresponde al adeudo de dicha Secretaría con el Hogar Cabañas</w:t>
      </w:r>
      <w:r w:rsidR="002D24B3">
        <w:t>,</w:t>
      </w:r>
      <w:r>
        <w:t xml:space="preserve"> en lo que respecta </w:t>
      </w:r>
      <w:r w:rsidRPr="00CE7B43">
        <w:t>a la radicaci</w:t>
      </w:r>
      <w:r>
        <w:t>ón del recurso recaudado en el mes de Diciembre de 2018.</w:t>
      </w:r>
    </w:p>
    <w:p w:rsidR="00AB4DD6" w:rsidRDefault="00AB4DD6" w:rsidP="00D31414">
      <w:pPr>
        <w:rPr>
          <w:b/>
        </w:rPr>
      </w:pPr>
    </w:p>
    <w:p w:rsidR="00AB4DD6" w:rsidRDefault="00AB4DD6" w:rsidP="00AB4DD6">
      <w:pPr>
        <w:rPr>
          <w:b/>
        </w:rPr>
      </w:pPr>
      <w:r>
        <w:rPr>
          <w:b/>
        </w:rPr>
        <w:t>-ALMACENES.</w:t>
      </w:r>
    </w:p>
    <w:p w:rsidR="00AB4DD6" w:rsidRDefault="00AB4DD6" w:rsidP="00D31414">
      <w:pPr>
        <w:rPr>
          <w:b/>
        </w:rPr>
      </w:pPr>
      <w:r w:rsidRPr="00BC1972">
        <w:t>Este rubro se compone de lo siguiente:</w:t>
      </w:r>
    </w:p>
    <w:p w:rsidR="00AB4DD6" w:rsidRDefault="00AB4DD6" w:rsidP="00D31414">
      <w:pPr>
        <w:rPr>
          <w:b/>
        </w:rPr>
      </w:pPr>
      <w:r w:rsidRPr="00AB4DD6">
        <w:rPr>
          <w:noProof/>
          <w:lang w:eastAsia="es-MX"/>
        </w:rPr>
        <w:drawing>
          <wp:inline distT="0" distB="0" distL="0" distR="0">
            <wp:extent cx="5612130" cy="1111178"/>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1111178"/>
                    </a:xfrm>
                    <a:prstGeom prst="rect">
                      <a:avLst/>
                    </a:prstGeom>
                    <a:noFill/>
                    <a:ln>
                      <a:noFill/>
                    </a:ln>
                  </pic:spPr>
                </pic:pic>
              </a:graphicData>
            </a:graphic>
          </wp:inline>
        </w:drawing>
      </w:r>
    </w:p>
    <w:p w:rsidR="00AB4DD6" w:rsidRPr="00150043" w:rsidRDefault="00C85CAF" w:rsidP="002D24B3">
      <w:pPr>
        <w:jc w:val="both"/>
      </w:pPr>
      <w:r w:rsidRPr="00150043">
        <w:t>El Almacén general resguarda los artículos de</w:t>
      </w:r>
      <w:r w:rsidR="002D24B3">
        <w:t xml:space="preserve"> consumo y de uso. El método de valuación de inventarios es el costo promedio. El sistema</w:t>
      </w:r>
      <w:r w:rsidR="00966402">
        <w:t xml:space="preserve"> de valuación es inventarios perpetuos. El sistema</w:t>
      </w:r>
      <w:r w:rsidR="002D24B3">
        <w:t xml:space="preserve"> informático usado para el control del almacén general es el sistema </w:t>
      </w:r>
      <w:proofErr w:type="spellStart"/>
      <w:r w:rsidR="002D24B3">
        <w:t>Adminpaq</w:t>
      </w:r>
      <w:proofErr w:type="spellEnd"/>
      <w:r w:rsidR="002D24B3">
        <w:t xml:space="preserve"> Comercial </w:t>
      </w:r>
      <w:proofErr w:type="spellStart"/>
      <w:r w:rsidR="002D24B3">
        <w:t>Start</w:t>
      </w:r>
      <w:proofErr w:type="spellEnd"/>
      <w:r w:rsidR="002D24B3">
        <w:t>.</w:t>
      </w:r>
    </w:p>
    <w:p w:rsidR="00AB4DD6" w:rsidRDefault="00AB4DD6" w:rsidP="00D31414">
      <w:pPr>
        <w:rPr>
          <w:b/>
        </w:rPr>
      </w:pPr>
      <w:r>
        <w:rPr>
          <w:b/>
        </w:rPr>
        <w:t>ACTIVO NO CIRCULANTE</w:t>
      </w:r>
    </w:p>
    <w:p w:rsidR="00AB4DD6" w:rsidRDefault="00AB4DD6" w:rsidP="00D31414">
      <w:pPr>
        <w:rPr>
          <w:b/>
        </w:rPr>
      </w:pPr>
      <w:r>
        <w:rPr>
          <w:b/>
        </w:rPr>
        <w:t>-BIENES INMUEBLES, INFRAESTRUCTURA Y CONSTRUCCIONES EN PROCESO.</w:t>
      </w:r>
    </w:p>
    <w:p w:rsidR="00AB4DD6" w:rsidRDefault="00AB4DD6" w:rsidP="00D31414">
      <w:pPr>
        <w:rPr>
          <w:b/>
        </w:rPr>
      </w:pPr>
      <w:r>
        <w:rPr>
          <w:b/>
        </w:rPr>
        <w:t>Este rubro se integra como sigue:</w:t>
      </w:r>
    </w:p>
    <w:p w:rsidR="00AB4DD6" w:rsidRDefault="0053534F" w:rsidP="00D31414">
      <w:pPr>
        <w:rPr>
          <w:b/>
        </w:rPr>
      </w:pPr>
      <w:r w:rsidRPr="0053534F">
        <w:rPr>
          <w:noProof/>
          <w:lang w:eastAsia="es-MX"/>
        </w:rPr>
        <w:drawing>
          <wp:inline distT="0" distB="0" distL="0" distR="0">
            <wp:extent cx="5612130" cy="1623601"/>
            <wp:effectExtent l="0" t="0" r="762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1623601"/>
                    </a:xfrm>
                    <a:prstGeom prst="rect">
                      <a:avLst/>
                    </a:prstGeom>
                    <a:noFill/>
                    <a:ln>
                      <a:noFill/>
                    </a:ln>
                  </pic:spPr>
                </pic:pic>
              </a:graphicData>
            </a:graphic>
          </wp:inline>
        </w:drawing>
      </w:r>
    </w:p>
    <w:p w:rsidR="00AB4DD6" w:rsidRPr="00AB4DD6" w:rsidRDefault="0053534F" w:rsidP="0053534F">
      <w:pPr>
        <w:jc w:val="both"/>
      </w:pPr>
      <w:r>
        <w:t>Tumbas adquirida</w:t>
      </w:r>
      <w:r w:rsidR="00AB4DD6" w:rsidRPr="00AB4DD6">
        <w:t xml:space="preserve">s en 1974 y 1978 </w:t>
      </w:r>
      <w:r>
        <w:t>bajo los títulos de propiedad</w:t>
      </w:r>
      <w:r w:rsidR="00C15881">
        <w:t xml:space="preserve"> nos. 47 y 189 de fecha 2 de febrero de 1978 y 24 de agosto de 1974, </w:t>
      </w:r>
      <w:r w:rsidR="00AB4DD6">
        <w:t>con el fin de contar con espacios destinados a la inhumación de albergados fallecidos o familiares directos</w:t>
      </w:r>
      <w:r w:rsidR="00C15881">
        <w:t>.</w:t>
      </w:r>
      <w:r w:rsidR="00067A3D">
        <w:t xml:space="preserve"> </w:t>
      </w:r>
      <w:r w:rsidR="00987B66">
        <w:t xml:space="preserve">En virtud de la actualización </w:t>
      </w:r>
      <w:r w:rsidR="002D24B3">
        <w:t xml:space="preserve">de los registros </w:t>
      </w:r>
      <w:r w:rsidR="00987B66">
        <w:t>de los bienes inmuebles, se llevará a cabo una revaluación, que quedará integrada a fin de actualizar los valores re</w:t>
      </w:r>
      <w:r w:rsidR="0032365A">
        <w:t>feridos de estas construcc</w:t>
      </w:r>
      <w:r w:rsidR="00686737">
        <w:t xml:space="preserve">iones. De la revisión efectuada a los Estados Financieros se detecta que no había sido aplicada la Depreciación de éstos inmuebles, por lo que se realiza dejando como valor </w:t>
      </w:r>
      <w:r w:rsidR="00686737">
        <w:lastRenderedPageBreak/>
        <w:t>en libr</w:t>
      </w:r>
      <w:r w:rsidR="009E18EA">
        <w:t xml:space="preserve">os $1.00 (Un peso 00/100  M.N.) cada una. </w:t>
      </w:r>
      <w:r w:rsidR="00686737">
        <w:t>En el ejercicio de 2019</w:t>
      </w:r>
      <w:r w:rsidR="002D24B3">
        <w:t>,</w:t>
      </w:r>
      <w:r w:rsidR="00686737">
        <w:t xml:space="preserve"> se buscará de acuerdo a las normas de la CONAC llevar a cabo la revaluación de dichos bienes inmuebles.</w:t>
      </w:r>
    </w:p>
    <w:p w:rsidR="00C15881" w:rsidRDefault="00C15881" w:rsidP="00D31414">
      <w:pPr>
        <w:rPr>
          <w:b/>
        </w:rPr>
      </w:pPr>
    </w:p>
    <w:p w:rsidR="00AB4DD6" w:rsidRDefault="00AB4DD6" w:rsidP="00D31414">
      <w:pPr>
        <w:rPr>
          <w:b/>
        </w:rPr>
      </w:pPr>
      <w:r>
        <w:rPr>
          <w:b/>
        </w:rPr>
        <w:t>-BIENES MUEBLES.</w:t>
      </w:r>
    </w:p>
    <w:p w:rsidR="00AB4DD6" w:rsidRDefault="00AB4DD6" w:rsidP="00D31414">
      <w:pPr>
        <w:rPr>
          <w:b/>
        </w:rPr>
      </w:pPr>
      <w:r>
        <w:rPr>
          <w:b/>
        </w:rPr>
        <w:t>Este rubro se integra como sigue:</w:t>
      </w:r>
    </w:p>
    <w:p w:rsidR="00AB4DD6" w:rsidRDefault="005177F3" w:rsidP="00D31414">
      <w:pPr>
        <w:rPr>
          <w:b/>
        </w:rPr>
      </w:pPr>
      <w:r w:rsidRPr="005177F3">
        <w:rPr>
          <w:noProof/>
          <w:lang w:eastAsia="es-MX"/>
        </w:rPr>
        <w:drawing>
          <wp:inline distT="0" distB="0" distL="0" distR="0">
            <wp:extent cx="5612130" cy="1926671"/>
            <wp:effectExtent l="0" t="0" r="762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1926671"/>
                    </a:xfrm>
                    <a:prstGeom prst="rect">
                      <a:avLst/>
                    </a:prstGeom>
                    <a:noFill/>
                    <a:ln>
                      <a:noFill/>
                    </a:ln>
                  </pic:spPr>
                </pic:pic>
              </a:graphicData>
            </a:graphic>
          </wp:inline>
        </w:drawing>
      </w:r>
    </w:p>
    <w:p w:rsidR="00067A3D" w:rsidRDefault="003066E5" w:rsidP="001A3A6D">
      <w:pPr>
        <w:pStyle w:val="Sinespaciado"/>
        <w:jc w:val="both"/>
      </w:pPr>
      <w:r w:rsidRPr="003066E5">
        <w:t>Las</w:t>
      </w:r>
      <w:r>
        <w:t xml:space="preserve"> adquisiciones de Mobiliario y equipo de administración fueron por la cantidad de </w:t>
      </w:r>
    </w:p>
    <w:p w:rsidR="00C15881" w:rsidRDefault="003066E5" w:rsidP="001A3A6D">
      <w:pPr>
        <w:pStyle w:val="Sinespaciado"/>
        <w:jc w:val="both"/>
      </w:pPr>
      <w:r>
        <w:t>$ 5’661,807.00</w:t>
      </w:r>
    </w:p>
    <w:p w:rsidR="001A3A6D" w:rsidRDefault="003066E5" w:rsidP="001A3A6D">
      <w:pPr>
        <w:pStyle w:val="Sinespaciado"/>
        <w:jc w:val="both"/>
      </w:pPr>
      <w:r>
        <w:t>Las adquisiciones de Mobiliario y equipo educacional y recreativo</w:t>
      </w:r>
      <w:r w:rsidR="009A3BFF">
        <w:t xml:space="preserve"> fue por la cantidad de</w:t>
      </w:r>
    </w:p>
    <w:p w:rsidR="003066E5" w:rsidRDefault="003066E5" w:rsidP="001A3A6D">
      <w:pPr>
        <w:pStyle w:val="Sinespaciado"/>
        <w:jc w:val="both"/>
      </w:pPr>
      <w:r>
        <w:t>$ 1’263,222.06</w:t>
      </w:r>
    </w:p>
    <w:p w:rsidR="001A3A6D" w:rsidRDefault="003066E5" w:rsidP="001A3A6D">
      <w:pPr>
        <w:pStyle w:val="Sinespaciado"/>
        <w:jc w:val="both"/>
      </w:pPr>
      <w:r>
        <w:t xml:space="preserve">Las adquisiciones </w:t>
      </w:r>
      <w:r w:rsidR="009A3BFF">
        <w:t xml:space="preserve">de Equipo e instrumental médico y de laboratorio fue por la cantidad de </w:t>
      </w:r>
    </w:p>
    <w:p w:rsidR="003066E5" w:rsidRDefault="009A3BFF" w:rsidP="001A3A6D">
      <w:pPr>
        <w:pStyle w:val="Sinespaciado"/>
        <w:jc w:val="both"/>
      </w:pPr>
      <w:r>
        <w:t>$ 3’189,861.44</w:t>
      </w:r>
    </w:p>
    <w:p w:rsidR="009A3BFF" w:rsidRDefault="009A3BFF" w:rsidP="001A3A6D">
      <w:pPr>
        <w:pStyle w:val="Sinespaciado"/>
        <w:jc w:val="both"/>
      </w:pPr>
      <w:r>
        <w:t xml:space="preserve">Las adquisiciones de Vehículos y Equipo de Transporte </w:t>
      </w:r>
      <w:r w:rsidR="001A3A6D">
        <w:t>ascendieron a la cantidad de $3’163,000.00</w:t>
      </w:r>
    </w:p>
    <w:p w:rsidR="00067A3D" w:rsidRDefault="001A3A6D" w:rsidP="001A3A6D">
      <w:pPr>
        <w:pStyle w:val="Sinespaciado"/>
        <w:jc w:val="both"/>
      </w:pPr>
      <w:r>
        <w:t xml:space="preserve">Las adquisiciones de maquinaria otros equipos y herramienta fueron por la cantidad de </w:t>
      </w:r>
    </w:p>
    <w:p w:rsidR="001A3A6D" w:rsidRDefault="001A3A6D" w:rsidP="001A3A6D">
      <w:pPr>
        <w:pStyle w:val="Sinespaciado"/>
        <w:jc w:val="both"/>
      </w:pPr>
      <w:r>
        <w:t>$ 274,900.08</w:t>
      </w:r>
    </w:p>
    <w:p w:rsidR="00A26B2D" w:rsidRDefault="00A26B2D" w:rsidP="00D31414">
      <w:pPr>
        <w:rPr>
          <w:b/>
        </w:rPr>
      </w:pPr>
    </w:p>
    <w:p w:rsidR="00C15881" w:rsidRDefault="005A633C" w:rsidP="00D31414">
      <w:pPr>
        <w:rPr>
          <w:b/>
        </w:rPr>
      </w:pPr>
      <w:r>
        <w:rPr>
          <w:b/>
        </w:rPr>
        <w:t>DEPRECIACION, DETERIORO Y AMORTIZACION ACUMULADA DE BIENES</w:t>
      </w:r>
    </w:p>
    <w:p w:rsidR="00C15881" w:rsidRDefault="00BE697A" w:rsidP="00D31414">
      <w:pPr>
        <w:rPr>
          <w:b/>
        </w:rPr>
      </w:pPr>
      <w:r w:rsidRPr="00BE697A">
        <w:rPr>
          <w:noProof/>
          <w:lang w:eastAsia="es-MX"/>
        </w:rPr>
        <w:drawing>
          <wp:inline distT="0" distB="0" distL="0" distR="0">
            <wp:extent cx="5612130" cy="1929420"/>
            <wp:effectExtent l="0" t="0" r="762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1929420"/>
                    </a:xfrm>
                    <a:prstGeom prst="rect">
                      <a:avLst/>
                    </a:prstGeom>
                    <a:noFill/>
                    <a:ln>
                      <a:noFill/>
                    </a:ln>
                  </pic:spPr>
                </pic:pic>
              </a:graphicData>
            </a:graphic>
          </wp:inline>
        </w:drawing>
      </w:r>
    </w:p>
    <w:p w:rsidR="001A3A6D" w:rsidRDefault="003F455F" w:rsidP="00D31414">
      <w:r>
        <w:t>Durante el ejercicio se llevó a cabo un inventario físico de bienes muebles, el cual no se concilió contra los registros contables, por lo que en el ejercicio 2019 se llevará a cabo dicho proceso, y por ende el ajuste de las depreciaciones de acuerdo al resultado.</w:t>
      </w:r>
    </w:p>
    <w:p w:rsidR="001A3A6D" w:rsidRDefault="001A3A6D" w:rsidP="00D31414"/>
    <w:p w:rsidR="005A633C" w:rsidRDefault="005A633C" w:rsidP="00D31414">
      <w:r w:rsidRPr="005A633C">
        <w:t xml:space="preserve"> </w:t>
      </w:r>
    </w:p>
    <w:p w:rsidR="005A633C" w:rsidRPr="00A26B2D" w:rsidRDefault="00A26B2D" w:rsidP="00D31414">
      <w:pPr>
        <w:rPr>
          <w:b/>
        </w:rPr>
      </w:pPr>
      <w:r w:rsidRPr="00A26B2D">
        <w:rPr>
          <w:b/>
        </w:rPr>
        <w:t>-OTROS ACTIVOS NO CIRCULANTES.</w:t>
      </w:r>
    </w:p>
    <w:p w:rsidR="005A633C" w:rsidRDefault="005A633C" w:rsidP="00D31414">
      <w:r w:rsidRPr="005A633C">
        <w:rPr>
          <w:noProof/>
          <w:lang w:eastAsia="es-MX"/>
        </w:rPr>
        <w:drawing>
          <wp:inline distT="0" distB="0" distL="0" distR="0">
            <wp:extent cx="5612130" cy="1137274"/>
            <wp:effectExtent l="0" t="0" r="0" b="635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1137274"/>
                    </a:xfrm>
                    <a:prstGeom prst="rect">
                      <a:avLst/>
                    </a:prstGeom>
                    <a:noFill/>
                    <a:ln>
                      <a:noFill/>
                    </a:ln>
                  </pic:spPr>
                </pic:pic>
              </a:graphicData>
            </a:graphic>
          </wp:inline>
        </w:drawing>
      </w:r>
    </w:p>
    <w:p w:rsidR="00CD49F6" w:rsidRDefault="00514E38" w:rsidP="00D31414">
      <w:pPr>
        <w:rPr>
          <w:b/>
        </w:rPr>
      </w:pPr>
      <w:r>
        <w:t xml:space="preserve">Las ampliaciones y mejoras a edificios se integran por la adquisición de sensores detectores de humo, hidrantes y equipo, pararrayos, requeridos para la seguridad de los edificios, que cumplimenta los requerimientos del Sistema Estatal de Protección Civil. </w:t>
      </w: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A26B2D" w:rsidRPr="00A26B2D" w:rsidRDefault="00A26B2D" w:rsidP="00D31414">
      <w:pPr>
        <w:rPr>
          <w:b/>
        </w:rPr>
      </w:pPr>
      <w:r w:rsidRPr="00A26B2D">
        <w:rPr>
          <w:b/>
        </w:rPr>
        <w:lastRenderedPageBreak/>
        <w:t>PASIVO.</w:t>
      </w:r>
    </w:p>
    <w:p w:rsidR="00A26B2D" w:rsidRDefault="00A26B2D" w:rsidP="00D31414">
      <w:pPr>
        <w:rPr>
          <w:b/>
        </w:rPr>
      </w:pPr>
      <w:r w:rsidRPr="00A26B2D">
        <w:rPr>
          <w:b/>
        </w:rPr>
        <w:t>PASIVO CIRCULANTE.</w:t>
      </w:r>
    </w:p>
    <w:p w:rsidR="00A26B2D" w:rsidRDefault="00A26B2D" w:rsidP="00D31414">
      <w:pPr>
        <w:rPr>
          <w:b/>
        </w:rPr>
      </w:pPr>
      <w:r>
        <w:rPr>
          <w:b/>
        </w:rPr>
        <w:t>-CUENTAS POR PAGAR A CORTO PLAZO.</w:t>
      </w:r>
    </w:p>
    <w:p w:rsidR="00A26B2D" w:rsidRDefault="00A26B2D" w:rsidP="00D31414">
      <w:r w:rsidRPr="00A26B2D">
        <w:t>El rubro está formado por:</w:t>
      </w:r>
      <w:r w:rsidR="00E520BC" w:rsidRPr="00E520BC">
        <w:rPr>
          <w:noProof/>
          <w:lang w:eastAsia="es-MX"/>
        </w:rPr>
        <w:drawing>
          <wp:inline distT="0" distB="0" distL="0" distR="0">
            <wp:extent cx="5612130" cy="5452012"/>
            <wp:effectExtent l="0" t="0" r="762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5452012"/>
                    </a:xfrm>
                    <a:prstGeom prst="rect">
                      <a:avLst/>
                    </a:prstGeom>
                    <a:noFill/>
                    <a:ln>
                      <a:noFill/>
                    </a:ln>
                  </pic:spPr>
                </pic:pic>
              </a:graphicData>
            </a:graphic>
          </wp:inline>
        </w:drawing>
      </w:r>
    </w:p>
    <w:p w:rsidR="00CD49F6" w:rsidRDefault="00CD49F6" w:rsidP="00D31414"/>
    <w:p w:rsidR="00CD49F6" w:rsidRDefault="00514E38" w:rsidP="00FE5243">
      <w:pPr>
        <w:jc w:val="both"/>
      </w:pPr>
      <w:r>
        <w:t>En lo que respecta  a los adeudos  de proveedores  corresponden a  los servicios básicos de pago del mes de Diciembre de 2018.</w:t>
      </w:r>
    </w:p>
    <w:p w:rsidR="00514E38" w:rsidRDefault="00514E38" w:rsidP="00FE5243">
      <w:pPr>
        <w:jc w:val="both"/>
      </w:pPr>
      <w:r>
        <w:t>En lo referente a Acreedores Diversos Personal del Hogar Cabañas,</w:t>
      </w:r>
      <w:r w:rsidR="00FE5243">
        <w:t xml:space="preserve"> </w:t>
      </w:r>
      <w:r>
        <w:t>los adeudos corresponden a importes no pagados por concepto de gastos de nómina por estar en procesos judiciales de pago.</w:t>
      </w:r>
    </w:p>
    <w:p w:rsidR="00514E38" w:rsidRDefault="00514E38" w:rsidP="00FE5243">
      <w:pPr>
        <w:jc w:val="both"/>
      </w:pPr>
      <w:r>
        <w:t xml:space="preserve">En lo referente a Acreedores Diversos Varios, los adeudos corresponden a saldos pendientes de pago  por concepto de retenciones en exceso de  nómina, por devolución electrónica en el pago de </w:t>
      </w:r>
      <w:r>
        <w:lastRenderedPageBreak/>
        <w:t>nómina y un pago pendiente de Asimilados a salarios</w:t>
      </w:r>
      <w:r w:rsidR="00FE5243">
        <w:t xml:space="preserve">, </w:t>
      </w:r>
      <w:proofErr w:type="spellStart"/>
      <w:r w:rsidR="00FE5243">
        <w:t>asi</w:t>
      </w:r>
      <w:proofErr w:type="spellEnd"/>
      <w:r w:rsidR="00FE5243">
        <w:t xml:space="preserve"> como</w:t>
      </w:r>
      <w:r>
        <w:t xml:space="preserve"> una provisión por no haberse elaborado recibo deducible de un donador.</w:t>
      </w:r>
    </w:p>
    <w:p w:rsidR="00514E38" w:rsidRDefault="00514E38" w:rsidP="00FE5243">
      <w:pPr>
        <w:jc w:val="both"/>
      </w:pPr>
      <w:r>
        <w:t xml:space="preserve">En lo referente a Acreedores Diversos </w:t>
      </w:r>
      <w:proofErr w:type="spellStart"/>
      <w:r>
        <w:t>Fonac</w:t>
      </w:r>
      <w:r w:rsidR="00FE5243">
        <w:t>ot</w:t>
      </w:r>
      <w:proofErr w:type="spellEnd"/>
      <w:r>
        <w:t>, corresponde a las retenciones efectuadas a los trabajadores por su</w:t>
      </w:r>
      <w:r w:rsidR="00FE5243">
        <w:t>s adeudos, por el mes de Diciembre de 2018.</w:t>
      </w:r>
    </w:p>
    <w:p w:rsidR="00800A91" w:rsidRDefault="00FE5243" w:rsidP="00B43860">
      <w:pPr>
        <w:jc w:val="both"/>
        <w:rPr>
          <w:b/>
        </w:rPr>
      </w:pPr>
      <w:r>
        <w:t xml:space="preserve">Los impuestos por pagar corresponden a las obligaciones fiscales por retenciones de </w:t>
      </w:r>
      <w:proofErr w:type="spellStart"/>
      <w:r>
        <w:t>Isr</w:t>
      </w:r>
      <w:proofErr w:type="spellEnd"/>
      <w:r>
        <w:t xml:space="preserve"> de los trabajadores, por asimilados a salarios y retenciones por el pago de honorarios por el mes de Diciembre de 2018.</w:t>
      </w: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F27FBF" w:rsidRDefault="00F27FBF" w:rsidP="00D31414">
      <w:pPr>
        <w:rPr>
          <w:b/>
        </w:rPr>
      </w:pPr>
    </w:p>
    <w:p w:rsidR="00CD49F6" w:rsidRDefault="00BF293B" w:rsidP="00D31414">
      <w:pPr>
        <w:rPr>
          <w:b/>
        </w:rPr>
      </w:pPr>
      <w:r>
        <w:rPr>
          <w:b/>
        </w:rPr>
        <w:lastRenderedPageBreak/>
        <w:t xml:space="preserve">II)             </w:t>
      </w:r>
      <w:r w:rsidR="00CD49F6" w:rsidRPr="00CD49F6">
        <w:rPr>
          <w:b/>
        </w:rPr>
        <w:t>NOTAS AL ESTADO DE ACTIVIDADES.</w:t>
      </w:r>
    </w:p>
    <w:p w:rsidR="00B43DB3" w:rsidRDefault="00B43DB3" w:rsidP="00D31414">
      <w:pPr>
        <w:rPr>
          <w:b/>
        </w:rPr>
      </w:pPr>
      <w:r>
        <w:rPr>
          <w:b/>
        </w:rPr>
        <w:t>-INGRESOS Y OTROS BENEFICIOS</w:t>
      </w:r>
    </w:p>
    <w:p w:rsidR="00B43DB3" w:rsidRDefault="00B43DB3" w:rsidP="00D31414">
      <w:pPr>
        <w:rPr>
          <w:b/>
        </w:rPr>
      </w:pPr>
      <w:r>
        <w:rPr>
          <w:b/>
        </w:rPr>
        <w:t>Se integra de los siguientes rubros:</w:t>
      </w:r>
      <w:r w:rsidR="00800A91" w:rsidRPr="00800A91">
        <w:rPr>
          <w:noProof/>
          <w:lang w:eastAsia="es-MX"/>
        </w:rPr>
        <w:drawing>
          <wp:inline distT="0" distB="0" distL="0" distR="0">
            <wp:extent cx="5612130" cy="6420725"/>
            <wp:effectExtent l="0" t="0" r="762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6420725"/>
                    </a:xfrm>
                    <a:prstGeom prst="rect">
                      <a:avLst/>
                    </a:prstGeom>
                    <a:noFill/>
                    <a:ln>
                      <a:noFill/>
                    </a:ln>
                  </pic:spPr>
                </pic:pic>
              </a:graphicData>
            </a:graphic>
          </wp:inline>
        </w:drawing>
      </w:r>
    </w:p>
    <w:p w:rsidR="00FE5243" w:rsidRDefault="00FE5243" w:rsidP="00B43DB3"/>
    <w:p w:rsidR="00FE5243" w:rsidRDefault="00FE5243" w:rsidP="00B43DB3">
      <w:r>
        <w:t>Se muestran los diferentes rubros en los cuales el Hogar Cabañas recibió ingresos.</w:t>
      </w:r>
    </w:p>
    <w:p w:rsidR="00B43DB3" w:rsidRDefault="00B43DB3" w:rsidP="00B43DB3">
      <w:r w:rsidRPr="00B43DB3">
        <w:t>Los rubros marcados con asterisco fueron clasificados en el ejercicio de 2017 en otros rubros, atendiendo la congruencia con el plan de cuentas se integra en 2018 en estos nuevos rubros.</w:t>
      </w:r>
    </w:p>
    <w:p w:rsidR="00595702" w:rsidRPr="00B43DB3" w:rsidRDefault="00595702" w:rsidP="00B43DB3"/>
    <w:p w:rsidR="00B43DB3" w:rsidRDefault="00B43DB3" w:rsidP="00B43DB3">
      <w:pPr>
        <w:rPr>
          <w:b/>
        </w:rPr>
      </w:pPr>
    </w:p>
    <w:p w:rsidR="00B43DB3" w:rsidRDefault="00B43DB3" w:rsidP="00B43DB3">
      <w:pPr>
        <w:rPr>
          <w:b/>
        </w:rPr>
      </w:pPr>
    </w:p>
    <w:p w:rsidR="00B43DB3" w:rsidRDefault="00B43DB3" w:rsidP="00B43DB3">
      <w:pPr>
        <w:rPr>
          <w:b/>
        </w:rPr>
      </w:pPr>
      <w:r>
        <w:rPr>
          <w:b/>
        </w:rPr>
        <w:t>-GASTOS Y OTRAS P</w:t>
      </w:r>
      <w:r w:rsidR="00BF293B">
        <w:rPr>
          <w:b/>
        </w:rPr>
        <w:t>É</w:t>
      </w:r>
      <w:r>
        <w:rPr>
          <w:b/>
        </w:rPr>
        <w:t>RDIDAS.</w:t>
      </w:r>
    </w:p>
    <w:p w:rsidR="00B43DB3" w:rsidRPr="00B43DB3" w:rsidRDefault="00B43DB3" w:rsidP="00B43DB3">
      <w:r w:rsidRPr="00B43DB3">
        <w:t>Se integra de los siguientes rubros:</w:t>
      </w:r>
    </w:p>
    <w:p w:rsidR="00B43DB3" w:rsidRDefault="00B43860" w:rsidP="00D31414">
      <w:pPr>
        <w:rPr>
          <w:b/>
        </w:rPr>
      </w:pPr>
      <w:r w:rsidRPr="00B43860">
        <w:rPr>
          <w:noProof/>
          <w:lang w:eastAsia="es-MX"/>
        </w:rPr>
        <w:drawing>
          <wp:inline distT="0" distB="0" distL="0" distR="0">
            <wp:extent cx="5612130" cy="3050245"/>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2130" cy="3050245"/>
                    </a:xfrm>
                    <a:prstGeom prst="rect">
                      <a:avLst/>
                    </a:prstGeom>
                    <a:noFill/>
                    <a:ln>
                      <a:noFill/>
                    </a:ln>
                  </pic:spPr>
                </pic:pic>
              </a:graphicData>
            </a:graphic>
          </wp:inline>
        </w:drawing>
      </w:r>
    </w:p>
    <w:p w:rsidR="00BF293B" w:rsidRPr="00B43860" w:rsidRDefault="00B43860" w:rsidP="00BF293B">
      <w:r w:rsidRPr="00B43860">
        <w:t>Se integran los diferentes gastos en que fueron ejercidos los recursos, incluidas las adquisiciones por bienes muebles e inmuebles.</w:t>
      </w:r>
    </w:p>
    <w:p w:rsidR="00BF293B" w:rsidRPr="00BF293B" w:rsidRDefault="00BF293B" w:rsidP="00BF293B">
      <w:pPr>
        <w:pStyle w:val="Prrafodelista"/>
        <w:ind w:left="1080"/>
        <w:rPr>
          <w:b/>
        </w:rPr>
      </w:pPr>
    </w:p>
    <w:p w:rsidR="00BF293B" w:rsidRDefault="00BF293B" w:rsidP="00BF293B">
      <w:pPr>
        <w:rPr>
          <w:b/>
        </w:rPr>
      </w:pPr>
      <w:r>
        <w:rPr>
          <w:b/>
        </w:rPr>
        <w:t>III.- NOTAS AL ESTADO DE VARIACION A LA HACIENDA P</w:t>
      </w:r>
      <w:r w:rsidR="00CA4DC9">
        <w:rPr>
          <w:b/>
        </w:rPr>
        <w:t>Ú</w:t>
      </w:r>
      <w:r>
        <w:rPr>
          <w:b/>
        </w:rPr>
        <w:t>BLICA.</w:t>
      </w:r>
    </w:p>
    <w:p w:rsidR="00BF293B" w:rsidRDefault="005C1755" w:rsidP="00BF293B">
      <w:pPr>
        <w:rPr>
          <w:b/>
        </w:rPr>
      </w:pPr>
      <w:r w:rsidRPr="005C1755">
        <w:rPr>
          <w:noProof/>
          <w:lang w:eastAsia="es-MX"/>
        </w:rPr>
        <w:drawing>
          <wp:inline distT="0" distB="0" distL="0" distR="0">
            <wp:extent cx="5314950" cy="1343025"/>
            <wp:effectExtent l="0" t="0" r="0" b="952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14950" cy="1343025"/>
                    </a:xfrm>
                    <a:prstGeom prst="rect">
                      <a:avLst/>
                    </a:prstGeom>
                    <a:noFill/>
                    <a:ln>
                      <a:noFill/>
                    </a:ln>
                  </pic:spPr>
                </pic:pic>
              </a:graphicData>
            </a:graphic>
          </wp:inline>
        </w:drawing>
      </w:r>
    </w:p>
    <w:p w:rsidR="005C1755" w:rsidRPr="001513A2" w:rsidRDefault="005C1755" w:rsidP="001513A2">
      <w:pPr>
        <w:jc w:val="both"/>
      </w:pPr>
      <w:r w:rsidRPr="001513A2">
        <w:t xml:space="preserve">Se informa que no </w:t>
      </w:r>
      <w:r w:rsidR="00EE4985" w:rsidRPr="001513A2">
        <w:t>existieron modificaciones</w:t>
      </w:r>
      <w:r w:rsidRPr="001513A2">
        <w:t xml:space="preserve"> al patrimonio contribuido en 2018.</w:t>
      </w:r>
    </w:p>
    <w:p w:rsidR="005C1755" w:rsidRPr="001513A2" w:rsidRDefault="005C1755" w:rsidP="001513A2">
      <w:pPr>
        <w:jc w:val="both"/>
      </w:pPr>
      <w:r w:rsidRPr="001513A2">
        <w:t>El patrimonio generado sufrió modificaciones</w:t>
      </w:r>
      <w:r w:rsidR="001513A2">
        <w:t xml:space="preserve"> por la cantidad de $ 681,988.00 (Seiscientos ochenta y un mil novecientos ochenta y ocho pesos 00/100 M.N.) </w:t>
      </w:r>
      <w:r w:rsidRPr="001513A2">
        <w:t xml:space="preserve"> </w:t>
      </w:r>
      <w:proofErr w:type="gramStart"/>
      <w:r w:rsidRPr="001513A2">
        <w:t>derivadas</w:t>
      </w:r>
      <w:proofErr w:type="gramEnd"/>
      <w:r w:rsidRPr="001513A2">
        <w:t xml:space="preserve"> de las </w:t>
      </w:r>
      <w:r w:rsidR="00EE4985" w:rsidRPr="001513A2">
        <w:t>correcciones</w:t>
      </w:r>
      <w:r w:rsidR="00EE4985">
        <w:t xml:space="preserve"> </w:t>
      </w:r>
      <w:r w:rsidR="00EE4985" w:rsidRPr="001513A2">
        <w:t>al</w:t>
      </w:r>
      <w:r w:rsidRPr="001513A2">
        <w:t xml:space="preserve"> resultado del ejercicio 2017, que tuvo su origen en la devolución de $ 682,700.00 (Seiscientos ochenta y dos </w:t>
      </w:r>
      <w:r w:rsidR="00EE4985" w:rsidRPr="001513A2">
        <w:t>mil</w:t>
      </w:r>
      <w:r w:rsidR="00EE4985">
        <w:t xml:space="preserve"> </w:t>
      </w:r>
      <w:r w:rsidR="00EE4985" w:rsidRPr="001513A2">
        <w:t>setecientos</w:t>
      </w:r>
      <w:r w:rsidRPr="001513A2">
        <w:t xml:space="preserve"> pesos 00/100) de aportaciones al DIF Jalisco, autorizadas por la Junta de Gobierno y </w:t>
      </w:r>
      <w:r w:rsidRPr="001513A2">
        <w:lastRenderedPageBreak/>
        <w:t>la</w:t>
      </w:r>
      <w:r w:rsidR="001513A2">
        <w:t xml:space="preserve"> cantidad de $ 720.00 (Setecientos veinte pesos 00/100 M.N.)  </w:t>
      </w:r>
      <w:r w:rsidR="00EE4985">
        <w:t>Por</w:t>
      </w:r>
      <w:r w:rsidR="001513A2">
        <w:t xml:space="preserve"> concepto de cancelación de saldo de proveedor. Además el patrimonio generado sufre modificaciones por el resultado</w:t>
      </w:r>
      <w:r w:rsidRPr="001513A2">
        <w:t xml:space="preserve"> del ejercicio de 2018 que ascendió a la cantidad de $7’826,937.00</w:t>
      </w:r>
    </w:p>
    <w:p w:rsidR="00BF293B" w:rsidRDefault="00BF293B"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BF293B" w:rsidRDefault="00BF293B" w:rsidP="00BF293B">
      <w:pPr>
        <w:rPr>
          <w:b/>
        </w:rPr>
      </w:pPr>
      <w:r>
        <w:rPr>
          <w:b/>
        </w:rPr>
        <w:t>IV.- NOTAS AL ESTADO DE FLUJOS DE EFECTIVO.</w:t>
      </w:r>
    </w:p>
    <w:p w:rsidR="00BF293B" w:rsidRDefault="00BF293B" w:rsidP="00BF293B">
      <w:pPr>
        <w:rPr>
          <w:b/>
        </w:rPr>
      </w:pPr>
      <w:r>
        <w:rPr>
          <w:b/>
        </w:rPr>
        <w:t>-EFECTIVO Y EQUIVALENTES.</w:t>
      </w:r>
    </w:p>
    <w:p w:rsidR="00BF293B" w:rsidRPr="00926CCB" w:rsidRDefault="00BF293B" w:rsidP="00BF293B">
      <w:r w:rsidRPr="00926CCB">
        <w:t>El rubro de efectivo y equivalentes se compone</w:t>
      </w:r>
      <w:r w:rsidR="00926CCB" w:rsidRPr="00926CCB">
        <w:t xml:space="preserve"> de lo siguiente</w:t>
      </w:r>
      <w:r w:rsidRPr="00926CCB">
        <w:t>:</w:t>
      </w:r>
    </w:p>
    <w:p w:rsidR="00BF293B" w:rsidRDefault="00BF293B" w:rsidP="00BF293B">
      <w:pPr>
        <w:rPr>
          <w:b/>
        </w:rPr>
      </w:pPr>
      <w:r w:rsidRPr="00BF293B">
        <w:rPr>
          <w:noProof/>
          <w:lang w:eastAsia="es-MX"/>
        </w:rPr>
        <w:drawing>
          <wp:inline distT="0" distB="0" distL="0" distR="0">
            <wp:extent cx="5427980" cy="1916430"/>
            <wp:effectExtent l="0" t="0" r="1270" b="762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27980" cy="1916430"/>
                    </a:xfrm>
                    <a:prstGeom prst="rect">
                      <a:avLst/>
                    </a:prstGeom>
                    <a:noFill/>
                    <a:ln>
                      <a:noFill/>
                    </a:ln>
                  </pic:spPr>
                </pic:pic>
              </a:graphicData>
            </a:graphic>
          </wp:inline>
        </w:drawing>
      </w:r>
    </w:p>
    <w:p w:rsidR="00F27FBF" w:rsidRDefault="00F27FBF" w:rsidP="00BF293B">
      <w:pPr>
        <w:rPr>
          <w:b/>
        </w:rPr>
      </w:pPr>
    </w:p>
    <w:p w:rsidR="00F27FBF" w:rsidRDefault="00F27FBF" w:rsidP="00BF293B">
      <w:pPr>
        <w:rPr>
          <w:b/>
        </w:rPr>
      </w:pPr>
      <w:r>
        <w:rPr>
          <w:b/>
        </w:rPr>
        <w:t>Bienes muebles.</w:t>
      </w:r>
    </w:p>
    <w:p w:rsidR="00C55BCC" w:rsidRDefault="001F61FE" w:rsidP="00BF293B">
      <w:r>
        <w:rPr>
          <w:b/>
        </w:rPr>
        <w:t xml:space="preserve"> </w:t>
      </w:r>
      <w:r w:rsidR="00E215F9" w:rsidRPr="00E215F9">
        <w:t>Las adquisiciones de bienes muebles adquiridas durante el ejercicio de 2018</w:t>
      </w:r>
      <w:r w:rsidR="00F27FBF">
        <w:t xml:space="preserve"> fueron adquiridas</w:t>
      </w:r>
      <w:r w:rsidR="00E215F9" w:rsidRPr="00E215F9">
        <w:t xml:space="preserve">  con recursos presupuestados del capítulo 5000, mismas que fueron capitalizadas en el activo no circulante en los diferentes rubros que lo com</w:t>
      </w:r>
      <w:r w:rsidR="00442DF5">
        <w:t>ponen de acuerdo a la normas de CONAC.</w:t>
      </w: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F27FBF" w:rsidP="00BF293B">
      <w:pPr>
        <w:rPr>
          <w:b/>
        </w:rPr>
      </w:pPr>
    </w:p>
    <w:p w:rsidR="00F27FBF" w:rsidRDefault="00E215F9" w:rsidP="00BF293B">
      <w:pPr>
        <w:rPr>
          <w:rFonts w:ascii="Calibri" w:eastAsia="Times New Roman" w:hAnsi="Calibri" w:cs="Calibri"/>
          <w:b/>
          <w:color w:val="000000"/>
          <w:lang w:eastAsia="es-MX"/>
        </w:rPr>
      </w:pPr>
      <w:r>
        <w:rPr>
          <w:b/>
        </w:rPr>
        <w:lastRenderedPageBreak/>
        <w:t xml:space="preserve">V.- </w:t>
      </w:r>
      <w:r w:rsidRPr="00E215F9">
        <w:rPr>
          <w:rFonts w:ascii="Calibri" w:eastAsia="Times New Roman" w:hAnsi="Calibri" w:cs="Calibri"/>
          <w:b/>
          <w:color w:val="000000"/>
          <w:lang w:eastAsia="es-MX"/>
        </w:rPr>
        <w:t>CONCILIACIÓN ENTRE LOS INGRESOS PRESUPUESTARIOS Y CONTABLES, ASÍ COMO ENTRE LOS EGRESOS PRESUPUESTARIOS Y LOS GASTOS CONTABLES</w:t>
      </w:r>
      <w:r>
        <w:rPr>
          <w:rFonts w:ascii="Calibri" w:eastAsia="Times New Roman" w:hAnsi="Calibri" w:cs="Calibri"/>
          <w:b/>
          <w:color w:val="000000"/>
          <w:lang w:eastAsia="es-MX"/>
        </w:rPr>
        <w:t>.</w:t>
      </w:r>
    </w:p>
    <w:p w:rsidR="00E215F9" w:rsidRDefault="003C55A6" w:rsidP="00BF293B">
      <w:r w:rsidRPr="003C55A6">
        <w:rPr>
          <w:noProof/>
          <w:lang w:eastAsia="es-MX"/>
        </w:rPr>
        <w:lastRenderedPageBreak/>
        <w:drawing>
          <wp:inline distT="0" distB="0" distL="0" distR="0">
            <wp:extent cx="5612130" cy="8334929"/>
            <wp:effectExtent l="0" t="0" r="7620"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2130" cy="8334929"/>
                    </a:xfrm>
                    <a:prstGeom prst="rect">
                      <a:avLst/>
                    </a:prstGeom>
                    <a:noFill/>
                    <a:ln>
                      <a:noFill/>
                    </a:ln>
                  </pic:spPr>
                </pic:pic>
              </a:graphicData>
            </a:graphic>
          </wp:inline>
        </w:drawing>
      </w:r>
    </w:p>
    <w:p w:rsidR="00442DF5" w:rsidRDefault="00442DF5" w:rsidP="00BF293B"/>
    <w:p w:rsidR="00E215F9" w:rsidRPr="00E215F9" w:rsidRDefault="00E215F9" w:rsidP="00E215F9">
      <w:pPr>
        <w:jc w:val="center"/>
        <w:rPr>
          <w:b/>
          <w:sz w:val="28"/>
          <w:szCs w:val="28"/>
        </w:rPr>
      </w:pPr>
      <w:r w:rsidRPr="00E215F9">
        <w:rPr>
          <w:b/>
          <w:sz w:val="28"/>
          <w:szCs w:val="28"/>
        </w:rPr>
        <w:t>NOTAS DE MEMORIA (CUENTAS DE ORDEN)</w:t>
      </w:r>
    </w:p>
    <w:p w:rsidR="00E215F9" w:rsidRPr="00E215F9" w:rsidRDefault="00E215F9" w:rsidP="00BF293B"/>
    <w:p w:rsidR="00E215F9" w:rsidRPr="00E215F9" w:rsidRDefault="00E215F9" w:rsidP="00E215F9">
      <w:pPr>
        <w:spacing w:after="0" w:line="240" w:lineRule="auto"/>
        <w:rPr>
          <w:rFonts w:ascii="Calibri" w:eastAsia="Times New Roman" w:hAnsi="Calibri" w:cs="Calibri"/>
          <w:b/>
          <w:bCs/>
          <w:color w:val="000000"/>
          <w:lang w:eastAsia="es-MX"/>
        </w:rPr>
      </w:pPr>
      <w:r w:rsidRPr="00E215F9">
        <w:rPr>
          <w:rFonts w:ascii="Calibri" w:eastAsia="Times New Roman" w:hAnsi="Calibri" w:cs="Calibri"/>
          <w:b/>
          <w:bCs/>
          <w:color w:val="000000"/>
          <w:lang w:eastAsia="es-MX"/>
        </w:rPr>
        <w:t>CUENTAS DE ORDEN CONTABLES Y PRESUPUESTARIAS.</w:t>
      </w:r>
    </w:p>
    <w:p w:rsidR="00E215F9" w:rsidRPr="00E215F9" w:rsidRDefault="00E215F9" w:rsidP="00E215F9">
      <w:pPr>
        <w:rPr>
          <w:b/>
        </w:rPr>
      </w:pPr>
    </w:p>
    <w:p w:rsidR="00442DF5" w:rsidRDefault="001E12F8" w:rsidP="00BF293B">
      <w:pPr>
        <w:rPr>
          <w:b/>
        </w:rPr>
      </w:pPr>
      <w:r w:rsidRPr="001E12F8">
        <w:rPr>
          <w:b/>
        </w:rPr>
        <w:t>CONTABLES.</w:t>
      </w:r>
      <w:r w:rsidR="00442DF5" w:rsidRPr="00442DF5">
        <w:rPr>
          <w:noProof/>
          <w:lang w:eastAsia="es-MX"/>
        </w:rPr>
        <w:drawing>
          <wp:inline distT="0" distB="0" distL="0" distR="0">
            <wp:extent cx="5612130" cy="6098160"/>
            <wp:effectExtent l="0" t="0" r="762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6098160"/>
                    </a:xfrm>
                    <a:prstGeom prst="rect">
                      <a:avLst/>
                    </a:prstGeom>
                    <a:noFill/>
                    <a:ln>
                      <a:noFill/>
                    </a:ln>
                  </pic:spPr>
                </pic:pic>
              </a:graphicData>
            </a:graphic>
          </wp:inline>
        </w:drawing>
      </w:r>
    </w:p>
    <w:p w:rsidR="00442DF5" w:rsidRPr="00045FB8" w:rsidRDefault="00045FB8" w:rsidP="00045FB8">
      <w:pPr>
        <w:jc w:val="both"/>
      </w:pPr>
      <w:r w:rsidRPr="00045FB8">
        <w:lastRenderedPageBreak/>
        <w:t>Los seguros contratados se encuentran valorizados con fecha 30 de Noviembre de 2018, ya que actualmente la Secretaría de Administración, instancia que licitó dichos seguros, no ha entregado las pólizas nuevas de aseguramiento.</w:t>
      </w:r>
    </w:p>
    <w:p w:rsidR="00442DF5" w:rsidRDefault="00442DF5" w:rsidP="00BF293B">
      <w:pPr>
        <w:rPr>
          <w:b/>
        </w:rPr>
      </w:pPr>
    </w:p>
    <w:p w:rsidR="00442DF5" w:rsidRDefault="00442DF5" w:rsidP="00BF293B">
      <w:pPr>
        <w:rPr>
          <w:b/>
        </w:rPr>
      </w:pPr>
      <w:r w:rsidRPr="00442DF5">
        <w:rPr>
          <w:noProof/>
          <w:lang w:eastAsia="es-MX"/>
        </w:rPr>
        <w:drawing>
          <wp:inline distT="0" distB="0" distL="0" distR="0">
            <wp:extent cx="5612130" cy="1169194"/>
            <wp:effectExtent l="0" t="0" r="762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2130" cy="1169194"/>
                    </a:xfrm>
                    <a:prstGeom prst="rect">
                      <a:avLst/>
                    </a:prstGeom>
                    <a:noFill/>
                    <a:ln>
                      <a:noFill/>
                    </a:ln>
                  </pic:spPr>
                </pic:pic>
              </a:graphicData>
            </a:graphic>
          </wp:inline>
        </w:drawing>
      </w:r>
    </w:p>
    <w:p w:rsidR="00442DF5" w:rsidRPr="00F27FBF" w:rsidRDefault="00F27FBF" w:rsidP="00BF293B">
      <w:r w:rsidRPr="00F27FBF">
        <w:t xml:space="preserve">Los </w:t>
      </w:r>
      <w:r>
        <w:t xml:space="preserve">contratos de comodatos de los </w:t>
      </w:r>
      <w:r w:rsidRPr="00F27FBF">
        <w:t>edificios ocupados como casa habitación</w:t>
      </w:r>
      <w:r>
        <w:t xml:space="preserve"> fueron suscritos con el Gobierno del Estado de Jalisco y casa para varones</w:t>
      </w:r>
      <w:r w:rsidR="000441E1">
        <w:t>,</w:t>
      </w:r>
      <w:r>
        <w:t xml:space="preserve"> fue bajo la sustitución de comodatario con CAPI, A.C.</w:t>
      </w:r>
    </w:p>
    <w:p w:rsidR="001E12F8" w:rsidRDefault="001E12F8" w:rsidP="00BF293B">
      <w:pPr>
        <w:rPr>
          <w:b/>
        </w:rPr>
      </w:pPr>
      <w:r w:rsidRPr="001E12F8">
        <w:rPr>
          <w:noProof/>
          <w:lang w:eastAsia="es-MX"/>
        </w:rPr>
        <w:drawing>
          <wp:inline distT="0" distB="0" distL="0" distR="0">
            <wp:extent cx="5612130" cy="3237376"/>
            <wp:effectExtent l="0" t="0" r="7620" b="127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3237376"/>
                    </a:xfrm>
                    <a:prstGeom prst="rect">
                      <a:avLst/>
                    </a:prstGeom>
                    <a:noFill/>
                    <a:ln>
                      <a:noFill/>
                    </a:ln>
                  </pic:spPr>
                </pic:pic>
              </a:graphicData>
            </a:graphic>
          </wp:inline>
        </w:drawing>
      </w:r>
    </w:p>
    <w:p w:rsidR="00570069" w:rsidRPr="00F27FBF" w:rsidRDefault="00F27FBF" w:rsidP="00BF293B">
      <w:r w:rsidRPr="00F27FBF">
        <w:t>Fianzas otorgadas para garantizar defectos o vicios ocultos de las remodelaciones y adquisiciones realizadas para los proyectos estratégicos 2018.</w:t>
      </w:r>
    </w:p>
    <w:p w:rsidR="00570069" w:rsidRDefault="00570069" w:rsidP="00BF293B">
      <w:pPr>
        <w:rPr>
          <w:b/>
        </w:rPr>
      </w:pPr>
    </w:p>
    <w:p w:rsidR="00570069" w:rsidRDefault="00570069" w:rsidP="00BF293B">
      <w:pPr>
        <w:rPr>
          <w:b/>
        </w:rPr>
      </w:pPr>
    </w:p>
    <w:p w:rsidR="00570069" w:rsidRDefault="00570069" w:rsidP="00BF293B">
      <w:pPr>
        <w:rPr>
          <w:b/>
        </w:rPr>
      </w:pPr>
      <w:r w:rsidRPr="00570069">
        <w:rPr>
          <w:noProof/>
          <w:lang w:eastAsia="es-MX"/>
        </w:rPr>
        <w:lastRenderedPageBreak/>
        <w:drawing>
          <wp:inline distT="0" distB="0" distL="0" distR="0">
            <wp:extent cx="5612130" cy="1078560"/>
            <wp:effectExtent l="0" t="0" r="7620" b="762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2130" cy="1078560"/>
                    </a:xfrm>
                    <a:prstGeom prst="rect">
                      <a:avLst/>
                    </a:prstGeom>
                    <a:noFill/>
                    <a:ln>
                      <a:noFill/>
                    </a:ln>
                  </pic:spPr>
                </pic:pic>
              </a:graphicData>
            </a:graphic>
          </wp:inline>
        </w:drawing>
      </w:r>
    </w:p>
    <w:p w:rsidR="006E452C" w:rsidRPr="00F27FBF" w:rsidRDefault="00F27FBF" w:rsidP="00BF293B">
      <w:r w:rsidRPr="00F27FBF">
        <w:t>Tumbas adquiridas en propiedad por el Hogar Cabañas para la inhumación de cuerpos de los NNA fallecidos durante su estancia o de familiares cercanos en caso de ser autorizada su inhumación por necesidad urgente.</w:t>
      </w:r>
    </w:p>
    <w:p w:rsidR="00570069" w:rsidRDefault="006E452C" w:rsidP="00BF293B">
      <w:pPr>
        <w:rPr>
          <w:b/>
        </w:rPr>
      </w:pPr>
      <w:r w:rsidRPr="006E452C">
        <w:rPr>
          <w:noProof/>
          <w:lang w:eastAsia="es-MX"/>
        </w:rPr>
        <w:drawing>
          <wp:inline distT="0" distB="0" distL="0" distR="0">
            <wp:extent cx="5612130" cy="581054"/>
            <wp:effectExtent l="0" t="0" r="7620" b="9525"/>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12130" cy="581054"/>
                    </a:xfrm>
                    <a:prstGeom prst="rect">
                      <a:avLst/>
                    </a:prstGeom>
                    <a:noFill/>
                    <a:ln>
                      <a:noFill/>
                    </a:ln>
                  </pic:spPr>
                </pic:pic>
              </a:graphicData>
            </a:graphic>
          </wp:inline>
        </w:drawing>
      </w:r>
    </w:p>
    <w:p w:rsidR="00F27FBF" w:rsidRDefault="00F27FBF" w:rsidP="00BF293B">
      <w:r w:rsidRPr="00F27FBF">
        <w:t>Legado de casa habitación a favor de Hogar Cabañas, en sucesión testamentaria en proceso.</w:t>
      </w:r>
    </w:p>
    <w:p w:rsidR="00F27FBF" w:rsidRPr="00F27FBF" w:rsidRDefault="00F27FBF" w:rsidP="00BF293B"/>
    <w:p w:rsidR="00570069" w:rsidRDefault="00570069" w:rsidP="00BF293B">
      <w:pPr>
        <w:rPr>
          <w:b/>
        </w:rPr>
      </w:pPr>
      <w:r w:rsidRPr="00570069">
        <w:rPr>
          <w:noProof/>
          <w:lang w:eastAsia="es-MX"/>
        </w:rPr>
        <w:drawing>
          <wp:inline distT="0" distB="0" distL="0" distR="0">
            <wp:extent cx="5612130" cy="1749390"/>
            <wp:effectExtent l="0" t="0" r="0" b="381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12130" cy="1749390"/>
                    </a:xfrm>
                    <a:prstGeom prst="rect">
                      <a:avLst/>
                    </a:prstGeom>
                    <a:noFill/>
                    <a:ln>
                      <a:noFill/>
                    </a:ln>
                  </pic:spPr>
                </pic:pic>
              </a:graphicData>
            </a:graphic>
          </wp:inline>
        </w:drawing>
      </w:r>
    </w:p>
    <w:p w:rsidR="00191BE7" w:rsidRPr="00F27FBF" w:rsidRDefault="00F27FBF" w:rsidP="00BF293B">
      <w:r w:rsidRPr="00F27FBF">
        <w:t>Se muestran los registros en cuentas de orden de las provisiones por obligaciones laborales que corresponderían a la liquidación de la totalidad de los empleados del Hogar Cabañas y los juicios de demandas laborales ya en proceso y valorizados al 31 de diciembre de 2018.</w:t>
      </w:r>
    </w:p>
    <w:p w:rsidR="006B71BE" w:rsidRDefault="006B71BE" w:rsidP="00BF293B">
      <w:pPr>
        <w:rPr>
          <w:b/>
        </w:rPr>
      </w:pPr>
    </w:p>
    <w:p w:rsidR="006B71BE" w:rsidRDefault="006B71BE" w:rsidP="00BF293B">
      <w:pPr>
        <w:rPr>
          <w:b/>
        </w:rPr>
      </w:pPr>
    </w:p>
    <w:p w:rsidR="00C85CAF" w:rsidRDefault="00C85CA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F27FBF" w:rsidRDefault="00F27FBF" w:rsidP="00C85CAF">
      <w:pPr>
        <w:jc w:val="center"/>
        <w:rPr>
          <w:b/>
        </w:rPr>
      </w:pPr>
    </w:p>
    <w:p w:rsidR="00191BE7" w:rsidRDefault="00C85CAF" w:rsidP="00C85CAF">
      <w:pPr>
        <w:jc w:val="center"/>
        <w:rPr>
          <w:b/>
        </w:rPr>
      </w:pPr>
      <w:r>
        <w:rPr>
          <w:b/>
        </w:rPr>
        <w:lastRenderedPageBreak/>
        <w:t>NOTAS DE GESTION ADMINISTRATIVA</w:t>
      </w:r>
    </w:p>
    <w:tbl>
      <w:tblPr>
        <w:tblW w:w="12594" w:type="dxa"/>
        <w:tblInd w:w="284" w:type="dxa"/>
        <w:tblLayout w:type="fixed"/>
        <w:tblCellMar>
          <w:left w:w="70" w:type="dxa"/>
          <w:right w:w="70" w:type="dxa"/>
        </w:tblCellMar>
        <w:tblLook w:val="0000" w:firstRow="0" w:lastRow="0" w:firstColumn="0" w:lastColumn="0" w:noHBand="0" w:noVBand="0"/>
      </w:tblPr>
      <w:tblGrid>
        <w:gridCol w:w="1656"/>
        <w:gridCol w:w="2547"/>
        <w:gridCol w:w="97"/>
        <w:gridCol w:w="1773"/>
        <w:gridCol w:w="1510"/>
        <w:gridCol w:w="1134"/>
        <w:gridCol w:w="497"/>
        <w:gridCol w:w="1870"/>
        <w:gridCol w:w="1510"/>
      </w:tblGrid>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 Introducción.</w:t>
            </w: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Las presentes notas de Gestión administrativa, tienen como finalidad mostrar un panorama General de la situación Financiera, contable, presupuestal y programática del Hogar Cabañas, así como revelar de manera suficiente los aspectos importantes a considerar al momento de analizar y verificar las cifras que componen los Estados financieros y presupuestales de la Institución al cierre del ejercicio de 2018.</w:t>
            </w: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Cabe aclarar, que en la medida de lo posible se han integrado todos los reportes e información pertinentes a fin de acatar con las distintas normatividades contempladas en la Ley General de Contabilidad Gubernamental y los  distintos ordenamientos legales a que estamos sujetos.</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p w:rsidR="00C85CAF" w:rsidRDefault="00C85CAF" w:rsidP="00107AA4">
            <w:pPr>
              <w:autoSpaceDE w:val="0"/>
              <w:autoSpaceDN w:val="0"/>
              <w:adjustRightInd w:val="0"/>
              <w:spacing w:after="0" w:line="240" w:lineRule="auto"/>
              <w:jc w:val="right"/>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2.- Panorama económico y Financiero.</w:t>
            </w:r>
          </w:p>
          <w:p w:rsidR="00C85CAF" w:rsidRDefault="00C85CAF"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shd w:val="clear" w:color="auto" w:fill="auto"/>
          </w:tcPr>
          <w:p w:rsidR="00067A3D"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Con la promulgación del Decreto de Presupuesto de Egresos del 2018, por parte del Congreso del Estado de Jalisco, el Hogar Cabañas se benefició con la aprobación de una aportación adicional de $20.00 (Veinte pesos 00/100 M.N.) en el pago de los refrendos vehiculares de la ciudadanía, </w:t>
            </w:r>
            <w:r w:rsidR="007E2447">
              <w:rPr>
                <w:rFonts w:ascii="Calibri" w:hAnsi="Calibri" w:cs="Calibri"/>
                <w:color w:val="000000"/>
              </w:rPr>
              <w:t>adicionales a los $ 48’</w:t>
            </w:r>
            <w:r>
              <w:rPr>
                <w:rFonts w:ascii="Calibri" w:hAnsi="Calibri" w:cs="Calibri"/>
                <w:color w:val="000000"/>
              </w:rPr>
              <w:t xml:space="preserve">473,207.00, que </w:t>
            </w:r>
            <w:r w:rsidR="007E2447">
              <w:rPr>
                <w:rFonts w:ascii="Calibri" w:hAnsi="Calibri" w:cs="Calibri"/>
                <w:color w:val="000000"/>
              </w:rPr>
              <w:t xml:space="preserve">  fueron contemplados</w:t>
            </w:r>
            <w:r>
              <w:rPr>
                <w:rFonts w:ascii="Calibri" w:hAnsi="Calibri" w:cs="Calibri"/>
                <w:color w:val="000000"/>
              </w:rPr>
              <w:t xml:space="preserve"> como Asignación Estatal, situación </w:t>
            </w:r>
            <w:r w:rsidR="007E2447">
              <w:rPr>
                <w:rFonts w:ascii="Calibri" w:hAnsi="Calibri" w:cs="Calibri"/>
                <w:color w:val="000000"/>
              </w:rPr>
              <w:t xml:space="preserve">que favoreció grandemente </w:t>
            </w:r>
            <w:r>
              <w:rPr>
                <w:rFonts w:ascii="Calibri" w:hAnsi="Calibri" w:cs="Calibri"/>
                <w:color w:val="000000"/>
              </w:rPr>
              <w:t>las finanzas del Hogar Cabaña</w:t>
            </w:r>
            <w:r w:rsidR="00D21B1F">
              <w:rPr>
                <w:rFonts w:ascii="Calibri" w:hAnsi="Calibri" w:cs="Calibri"/>
                <w:color w:val="000000"/>
              </w:rPr>
              <w:t xml:space="preserve">s, esperando obtener cerca de </w:t>
            </w:r>
          </w:p>
          <w:p w:rsidR="007E2447" w:rsidRDefault="00D21B1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$ 45’000,000.00 para la implementación de Proyectos Estratégicos en el 2018.</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Por lo anterior se </w:t>
            </w:r>
            <w:r w:rsidR="00DA237F">
              <w:rPr>
                <w:rFonts w:ascii="Calibri" w:hAnsi="Calibri" w:cs="Calibri"/>
                <w:color w:val="000000"/>
              </w:rPr>
              <w:t>le dará</w:t>
            </w:r>
            <w:r w:rsidR="00067A3D">
              <w:rPr>
                <w:rFonts w:ascii="Calibri" w:hAnsi="Calibri" w:cs="Calibri"/>
                <w:color w:val="000000"/>
              </w:rPr>
              <w:t xml:space="preserve"> </w:t>
            </w:r>
            <w:r>
              <w:rPr>
                <w:rFonts w:ascii="Calibri" w:hAnsi="Calibri" w:cs="Calibri"/>
                <w:color w:val="000000"/>
              </w:rPr>
              <w:t>continu</w:t>
            </w:r>
            <w:r w:rsidR="007E2447">
              <w:rPr>
                <w:rFonts w:ascii="Calibri" w:hAnsi="Calibri" w:cs="Calibri"/>
                <w:color w:val="000000"/>
              </w:rPr>
              <w:t xml:space="preserve">idad </w:t>
            </w:r>
            <w:r>
              <w:rPr>
                <w:rFonts w:ascii="Calibri" w:hAnsi="Calibri" w:cs="Calibri"/>
                <w:color w:val="000000"/>
              </w:rPr>
              <w:t>a</w:t>
            </w:r>
            <w:r w:rsidR="007E2447">
              <w:rPr>
                <w:rFonts w:ascii="Calibri" w:hAnsi="Calibri" w:cs="Calibri"/>
                <w:color w:val="000000"/>
              </w:rPr>
              <w:t xml:space="preserve"> los</w:t>
            </w:r>
            <w:r>
              <w:rPr>
                <w:rFonts w:ascii="Calibri" w:hAnsi="Calibri" w:cs="Calibri"/>
                <w:color w:val="000000"/>
              </w:rPr>
              <w:t xml:space="preserve"> “Proyectos Estratégicos 2017”</w:t>
            </w:r>
            <w:r w:rsidR="007E2447">
              <w:rPr>
                <w:rFonts w:ascii="Calibri" w:hAnsi="Calibri" w:cs="Calibri"/>
                <w:color w:val="000000"/>
              </w:rPr>
              <w:t xml:space="preserve"> tales como:</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1.-Taller</w:t>
            </w:r>
            <w:r w:rsidR="00DA237F">
              <w:rPr>
                <w:rFonts w:ascii="Calibri" w:hAnsi="Calibri" w:cs="Calibri"/>
                <w:color w:val="000000"/>
              </w:rPr>
              <w:t>es</w:t>
            </w:r>
            <w:r>
              <w:rPr>
                <w:rFonts w:ascii="Calibri" w:hAnsi="Calibri" w:cs="Calibri"/>
                <w:color w:val="000000"/>
              </w:rPr>
              <w:t xml:space="preserve"> de capacitación y formación integral en Cultura y Deportes.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2.-Estimulación temprana y rehabilitación.</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3.-Recreación y tiempo libre.</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4.- Rehabilitación de espacios para vivienda Digna y segura.</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Entre los Proyectos a Implementarse en el ejercicio de 2018 se encuentran:</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Reequipamiento y rehabilitación de área médica.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Dignificación de espacios para terapia y convivencia.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y requipamiento de área de comedor y cocina.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Rehabilitación de ingresos Mariano Otero y </w:t>
            </w:r>
            <w:r w:rsidR="00067A3D">
              <w:rPr>
                <w:rFonts w:ascii="Calibri" w:hAnsi="Calibri" w:cs="Calibri"/>
                <w:color w:val="000000"/>
              </w:rPr>
              <w:t>Lapislázuli</w:t>
            </w:r>
            <w:r>
              <w:rPr>
                <w:rFonts w:ascii="Calibri" w:hAnsi="Calibri" w:cs="Calibri"/>
                <w:color w:val="000000"/>
              </w:rPr>
              <w:t>.</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Adecuación de espacios en sala Blanca para implementación de equipo de rehabilitación y terapia física.</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escaleras en edificios azul, naranja, rosa, morado, verde y amarillo.</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Empastado en cubos de escaleras.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entarimado de auditorio.</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Equipamiento y remodelación de gimnasio.</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área de juegos.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Adquisición de camión escolar para traslados de menores.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Adquisición de vehículos híbridos para traslados.</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Adquisición de camionetas para traslado de materiales y personal.</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cocina y comedor.</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del área de bodegas.</w:t>
            </w:r>
          </w:p>
          <w:p w:rsidR="00C85CAF" w:rsidRDefault="00DA237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Instalación de elevador para área de </w:t>
            </w:r>
            <w:r w:rsidR="00485140">
              <w:rPr>
                <w:rFonts w:ascii="Calibri" w:hAnsi="Calibri" w:cs="Calibri"/>
                <w:color w:val="000000"/>
              </w:rPr>
              <w:t>a</w:t>
            </w:r>
            <w:r>
              <w:rPr>
                <w:rFonts w:ascii="Calibri" w:hAnsi="Calibri" w:cs="Calibri"/>
                <w:color w:val="000000"/>
              </w:rPr>
              <w:t>lmac</w:t>
            </w:r>
            <w:r w:rsidR="00485140">
              <w:rPr>
                <w:rFonts w:ascii="Calibri" w:hAnsi="Calibri" w:cs="Calibri"/>
                <w:color w:val="000000"/>
              </w:rPr>
              <w:t>én</w:t>
            </w:r>
            <w:r>
              <w:rPr>
                <w:rFonts w:ascii="Calibri" w:hAnsi="Calibri" w:cs="Calibri"/>
                <w:color w:val="000000"/>
              </w:rPr>
              <w:t>.</w:t>
            </w:r>
          </w:p>
          <w:p w:rsidR="00DA237F" w:rsidRDefault="00DA237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Adecuación de espacios para almacén General.</w:t>
            </w:r>
          </w:p>
          <w:p w:rsidR="00C85CAF"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Instalación de </w:t>
            </w:r>
            <w:r w:rsidR="00EB59F3">
              <w:rPr>
                <w:rFonts w:ascii="Calibri" w:hAnsi="Calibri" w:cs="Calibri"/>
                <w:color w:val="000000"/>
              </w:rPr>
              <w:t>pararrayos</w:t>
            </w:r>
            <w:r>
              <w:rPr>
                <w:rFonts w:ascii="Calibri" w:hAnsi="Calibri" w:cs="Calibri"/>
                <w:color w:val="000000"/>
              </w:rPr>
              <w:t>.</w:t>
            </w:r>
          </w:p>
          <w:p w:rsidR="00485140" w:rsidRDefault="00485140"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Instalación de detectores de humo sistema contra incendio.</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Pr="00D02735" w:rsidRDefault="00C85CAF" w:rsidP="006B71BE">
            <w:pPr>
              <w:pStyle w:val="Ttulo1"/>
              <w:jc w:val="both"/>
              <w:rPr>
                <w:rFonts w:ascii="Calibri" w:hAnsi="Calibri" w:cs="Calibri"/>
                <w:color w:val="000000"/>
                <w:sz w:val="22"/>
                <w:szCs w:val="22"/>
              </w:rPr>
            </w:pPr>
            <w:r w:rsidRPr="00D02735">
              <w:rPr>
                <w:rFonts w:ascii="Calibri" w:hAnsi="Calibri" w:cs="Calibri"/>
                <w:color w:val="000000"/>
                <w:sz w:val="22"/>
                <w:szCs w:val="22"/>
              </w:rPr>
              <w:t xml:space="preserve">Los procesos de licitaciones y adjudicaciones </w:t>
            </w:r>
            <w:r w:rsidR="00954225" w:rsidRPr="00D02735">
              <w:rPr>
                <w:rFonts w:ascii="Calibri" w:hAnsi="Calibri" w:cs="Calibri"/>
                <w:color w:val="000000"/>
                <w:sz w:val="22"/>
                <w:szCs w:val="22"/>
              </w:rPr>
              <w:t>se llevaron a cabo</w:t>
            </w:r>
            <w:r w:rsidRPr="00D02735">
              <w:rPr>
                <w:rFonts w:ascii="Calibri" w:hAnsi="Calibri" w:cs="Calibri"/>
                <w:color w:val="000000"/>
                <w:sz w:val="22"/>
                <w:szCs w:val="22"/>
              </w:rPr>
              <w:t>, de acuerdo a la norma</w:t>
            </w:r>
            <w:r w:rsidR="00D02735">
              <w:rPr>
                <w:rFonts w:ascii="Calibri" w:hAnsi="Calibri" w:cs="Calibri"/>
                <w:color w:val="000000"/>
                <w:sz w:val="22"/>
                <w:szCs w:val="22"/>
              </w:rPr>
              <w:t xml:space="preserve">tiva de la </w:t>
            </w:r>
            <w:r w:rsidR="004E020B" w:rsidRPr="00D02735">
              <w:rPr>
                <w:rFonts w:asciiTheme="minorHAnsi" w:eastAsia="Times New Roman" w:hAnsiTheme="minorHAnsi" w:cstheme="minorHAnsi"/>
                <w:bCs/>
                <w:color w:val="auto"/>
                <w:kern w:val="36"/>
                <w:sz w:val="22"/>
                <w:szCs w:val="22"/>
                <w:lang w:eastAsia="es-MX"/>
              </w:rPr>
              <w:t>Ley de Compras Gubernamentales, Enajenaciones y Contratación de Servicios del Estado de Jalisco y sus Municipios</w:t>
            </w:r>
            <w:r w:rsidR="00D02735">
              <w:rPr>
                <w:rFonts w:asciiTheme="minorHAnsi" w:eastAsia="Times New Roman" w:hAnsiTheme="minorHAnsi" w:cstheme="minorHAnsi"/>
                <w:bCs/>
                <w:color w:val="auto"/>
                <w:kern w:val="36"/>
                <w:sz w:val="22"/>
                <w:szCs w:val="22"/>
                <w:lang w:eastAsia="es-MX"/>
              </w:rPr>
              <w:t>, c</w:t>
            </w:r>
            <w:r w:rsidR="00954225" w:rsidRPr="00D02735">
              <w:rPr>
                <w:rFonts w:ascii="Calibri" w:hAnsi="Calibri" w:cs="Calibri"/>
                <w:color w:val="000000"/>
                <w:sz w:val="22"/>
                <w:szCs w:val="22"/>
              </w:rPr>
              <w:t>ontando con el aval del</w:t>
            </w:r>
            <w:r w:rsidR="00D02735">
              <w:rPr>
                <w:rFonts w:ascii="Calibri" w:hAnsi="Calibri" w:cs="Calibri"/>
                <w:color w:val="000000"/>
                <w:sz w:val="22"/>
                <w:szCs w:val="22"/>
              </w:rPr>
              <w:t xml:space="preserve"> C</w:t>
            </w:r>
            <w:r w:rsidR="00485140">
              <w:rPr>
                <w:rFonts w:ascii="Calibri" w:hAnsi="Calibri" w:cs="Calibri"/>
                <w:color w:val="000000"/>
                <w:sz w:val="22"/>
                <w:szCs w:val="22"/>
              </w:rPr>
              <w:t>omité de Adquisiciones, E</w:t>
            </w:r>
            <w:r w:rsidR="00954225" w:rsidRPr="00D02735">
              <w:rPr>
                <w:rFonts w:ascii="Calibri" w:hAnsi="Calibri" w:cs="Calibri"/>
                <w:color w:val="000000"/>
                <w:sz w:val="22"/>
                <w:szCs w:val="22"/>
              </w:rPr>
              <w:t xml:space="preserve">najenaciones y </w:t>
            </w:r>
            <w:r w:rsidR="00485140">
              <w:rPr>
                <w:rFonts w:ascii="Calibri" w:hAnsi="Calibri" w:cs="Calibri"/>
                <w:color w:val="000000"/>
                <w:sz w:val="22"/>
                <w:szCs w:val="22"/>
              </w:rPr>
              <w:t>A</w:t>
            </w:r>
            <w:r w:rsidR="00954225" w:rsidRPr="00D02735">
              <w:rPr>
                <w:rFonts w:ascii="Calibri" w:hAnsi="Calibri" w:cs="Calibri"/>
                <w:color w:val="000000"/>
                <w:sz w:val="22"/>
                <w:szCs w:val="22"/>
              </w:rPr>
              <w:t xml:space="preserve">rrendamientos del Hogar Cabañas, quien estuvo formado por personas del sociedad civil, de </w:t>
            </w:r>
            <w:r w:rsidR="00D02735">
              <w:rPr>
                <w:rFonts w:ascii="Calibri" w:hAnsi="Calibri" w:cs="Calibri"/>
                <w:color w:val="000000"/>
                <w:sz w:val="22"/>
                <w:szCs w:val="22"/>
              </w:rPr>
              <w:t>la administración central y del propio Hogar Cabañas, que legitiman y transparentan los procesos que se llevaron a cabo.</w:t>
            </w:r>
          </w:p>
          <w:p w:rsidR="00C85CAF" w:rsidRPr="00D02735" w:rsidRDefault="00C85CAF" w:rsidP="006B71BE">
            <w:pPr>
              <w:autoSpaceDE w:val="0"/>
              <w:autoSpaceDN w:val="0"/>
              <w:adjustRightInd w:val="0"/>
              <w:spacing w:after="0" w:line="240" w:lineRule="auto"/>
              <w:jc w:val="both"/>
              <w:rPr>
                <w:rFonts w:ascii="Calibri" w:hAnsi="Calibri" w:cs="Calibri"/>
                <w:color w:val="000000"/>
              </w:rPr>
            </w:pPr>
          </w:p>
          <w:p w:rsidR="00EB59F3" w:rsidRDefault="00C85CAF" w:rsidP="006B71BE">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Con la puesta en marcha de estos proyectos, nos obligan a refrendar nuestro compromiso con la Transparencia y la Rendición de cuentas, refrendando con ello la confianza depositada por la Sociedad Jalisciense en esta Inst</w:t>
            </w:r>
            <w:r w:rsidR="00485140">
              <w:rPr>
                <w:rFonts w:ascii="Calibri" w:hAnsi="Calibri" w:cs="Calibri"/>
                <w:color w:val="000000"/>
              </w:rPr>
              <w:t xml:space="preserve">itución. </w:t>
            </w:r>
          </w:p>
          <w:p w:rsidR="00EB59F3" w:rsidRDefault="00EB59F3" w:rsidP="006B71BE">
            <w:pPr>
              <w:autoSpaceDE w:val="0"/>
              <w:autoSpaceDN w:val="0"/>
              <w:adjustRightInd w:val="0"/>
              <w:spacing w:after="0" w:line="240" w:lineRule="auto"/>
              <w:jc w:val="both"/>
              <w:rPr>
                <w:rFonts w:ascii="Calibri" w:hAnsi="Calibri" w:cs="Calibri"/>
                <w:color w:val="000000"/>
              </w:rPr>
            </w:pPr>
          </w:p>
          <w:p w:rsidR="00C85CAF" w:rsidRDefault="00EB59F3" w:rsidP="006B71BE">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 principios del mes de diciembre 2018 </w:t>
            </w:r>
            <w:r w:rsidR="00485140">
              <w:rPr>
                <w:rFonts w:ascii="Calibri" w:hAnsi="Calibri" w:cs="Calibri"/>
                <w:color w:val="000000"/>
              </w:rPr>
              <w:t xml:space="preserve">se </w:t>
            </w:r>
            <w:r w:rsidR="000441E1">
              <w:rPr>
                <w:rFonts w:ascii="Calibri" w:hAnsi="Calibri" w:cs="Calibri"/>
                <w:color w:val="000000"/>
              </w:rPr>
              <w:t>llevó</w:t>
            </w:r>
            <w:r>
              <w:rPr>
                <w:rFonts w:ascii="Calibri" w:hAnsi="Calibri" w:cs="Calibri"/>
                <w:color w:val="000000"/>
              </w:rPr>
              <w:t xml:space="preserve"> a cabo</w:t>
            </w:r>
            <w:r w:rsidR="00C85CAF">
              <w:rPr>
                <w:rFonts w:ascii="Calibri" w:hAnsi="Calibri" w:cs="Calibri"/>
                <w:color w:val="000000"/>
              </w:rPr>
              <w:t xml:space="preserve"> un proceso de entrega-recepción </w:t>
            </w:r>
            <w:r>
              <w:rPr>
                <w:rFonts w:ascii="Calibri" w:hAnsi="Calibri" w:cs="Calibri"/>
                <w:color w:val="000000"/>
              </w:rPr>
              <w:t>de la administración del</w:t>
            </w:r>
            <w:r w:rsidR="00C85CAF">
              <w:rPr>
                <w:rFonts w:ascii="Calibri" w:hAnsi="Calibri" w:cs="Calibri"/>
                <w:color w:val="000000"/>
              </w:rPr>
              <w:t xml:space="preserve"> Hogar Cabañas</w:t>
            </w:r>
            <w:r w:rsidR="000441E1">
              <w:rPr>
                <w:rFonts w:ascii="Calibri" w:hAnsi="Calibri" w:cs="Calibri"/>
                <w:color w:val="000000"/>
              </w:rPr>
              <w:t xml:space="preserve"> atendiendo a la normativa de la ley de En</w:t>
            </w:r>
            <w:r>
              <w:rPr>
                <w:rFonts w:ascii="Calibri" w:hAnsi="Calibri" w:cs="Calibri"/>
                <w:color w:val="000000"/>
              </w:rPr>
              <w:t>trega-recepci</w:t>
            </w:r>
            <w:r w:rsidR="006B71BE">
              <w:rPr>
                <w:rFonts w:ascii="Calibri" w:hAnsi="Calibri" w:cs="Calibri"/>
                <w:color w:val="000000"/>
              </w:rPr>
              <w:t>ó</w:t>
            </w:r>
            <w:r>
              <w:rPr>
                <w:rFonts w:ascii="Calibri" w:hAnsi="Calibri" w:cs="Calibri"/>
                <w:color w:val="000000"/>
              </w:rPr>
              <w:t>n</w:t>
            </w:r>
            <w:r w:rsidR="006B71BE">
              <w:rPr>
                <w:rFonts w:ascii="Calibri" w:hAnsi="Calibri" w:cs="Calibri"/>
                <w:color w:val="000000"/>
              </w:rPr>
              <w:t xml:space="preserve"> del Estado de Jalisco y sus Municipios.</w:t>
            </w:r>
          </w:p>
          <w:p w:rsidR="00C85CAF" w:rsidRDefault="00C85CAF" w:rsidP="006B71BE">
            <w:pPr>
              <w:autoSpaceDE w:val="0"/>
              <w:autoSpaceDN w:val="0"/>
              <w:adjustRightInd w:val="0"/>
              <w:spacing w:after="0" w:line="240" w:lineRule="auto"/>
              <w:jc w:val="both"/>
              <w:rPr>
                <w:rFonts w:ascii="Calibri" w:hAnsi="Calibri" w:cs="Calibri"/>
                <w:color w:val="000000"/>
              </w:rPr>
            </w:pPr>
          </w:p>
        </w:tc>
      </w:tr>
      <w:tr w:rsidR="00C85CAF" w:rsidTr="00AB3902">
        <w:trPr>
          <w:gridAfter w:val="7"/>
          <w:wAfter w:w="8391"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3.-Autorización e historia.</w:t>
            </w: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llamado en un principio "Casa de la Misericordia", tiene su origen en la visión del Obispo de la Diócesis de Guadalajara de fundar casas para niños y personas en desamparo. El Ilmo. Don Juan Cruz Ruiz de Cabañas y Crespo, recibió la cédula real del Rey Carlos IV de España autorizando la fundación de una casa para niños desamparados. La primera cédula se recibió en el año 1796 y la segunda en 1797.</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Acatando las órdenes reales, el Obispo Cabañas compró las huertas de "E</w:t>
            </w:r>
            <w:r w:rsidR="00FB4570">
              <w:rPr>
                <w:rFonts w:ascii="Calibri" w:hAnsi="Calibri" w:cs="Calibri"/>
                <w:color w:val="000000"/>
              </w:rPr>
              <w:t>l sabino</w:t>
            </w:r>
            <w:r>
              <w:rPr>
                <w:rFonts w:ascii="Calibri" w:hAnsi="Calibri" w:cs="Calibri"/>
                <w:color w:val="000000"/>
              </w:rPr>
              <w:t xml:space="preserve">" al oriente de la ciudad y encargó los planos de la casa al notable arquitecto Don Manuel </w:t>
            </w:r>
            <w:proofErr w:type="spellStart"/>
            <w:r>
              <w:rPr>
                <w:rFonts w:ascii="Calibri" w:hAnsi="Calibri" w:cs="Calibri"/>
                <w:color w:val="000000"/>
              </w:rPr>
              <w:t>Tolsá</w:t>
            </w:r>
            <w:proofErr w:type="spellEnd"/>
            <w:r>
              <w:rPr>
                <w:rFonts w:ascii="Calibri" w:hAnsi="Calibri" w:cs="Calibri"/>
                <w:color w:val="000000"/>
              </w:rPr>
              <w:t>.</w:t>
            </w:r>
            <w:r w:rsidR="00EB59F3">
              <w:rPr>
                <w:rFonts w:ascii="Calibri" w:hAnsi="Calibri" w:cs="Calibri"/>
                <w:color w:val="000000"/>
              </w:rPr>
              <w:t xml:space="preserve"> </w:t>
            </w:r>
            <w:r>
              <w:rPr>
                <w:rFonts w:ascii="Calibri" w:hAnsi="Calibri" w:cs="Calibri"/>
                <w:color w:val="000000"/>
              </w:rPr>
              <w:t xml:space="preserve">La construcción de dicha casa se inició en 1801 y en Febrero de 1810 ingresaron los primeros </w:t>
            </w:r>
            <w:r w:rsidR="00EB59F3">
              <w:rPr>
                <w:rFonts w:ascii="Calibri" w:hAnsi="Calibri" w:cs="Calibri"/>
                <w:color w:val="000000"/>
              </w:rPr>
              <w:t>amparados</w:t>
            </w:r>
            <w:r>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Al iniciarse el movimiento de independenc</w:t>
            </w:r>
            <w:r w:rsidR="00CB21D1">
              <w:rPr>
                <w:rFonts w:ascii="Calibri" w:hAnsi="Calibri" w:cs="Calibri"/>
                <w:color w:val="000000"/>
              </w:rPr>
              <w:t>ia, vivían ya en la casa 67 niña</w:t>
            </w:r>
            <w:r>
              <w:rPr>
                <w:rFonts w:ascii="Calibri" w:hAnsi="Calibri" w:cs="Calibri"/>
                <w:color w:val="000000"/>
              </w:rPr>
              <w:t>s y niñ</w:t>
            </w:r>
            <w:r w:rsidR="00CB21D1">
              <w:rPr>
                <w:rFonts w:ascii="Calibri" w:hAnsi="Calibri" w:cs="Calibri"/>
                <w:color w:val="000000"/>
              </w:rPr>
              <w:t>o</w:t>
            </w:r>
            <w:r>
              <w:rPr>
                <w:rFonts w:ascii="Calibri" w:hAnsi="Calibri" w:cs="Calibri"/>
                <w:color w:val="000000"/>
              </w:rPr>
              <w:t>s, los cuales tuvieron que salir al ser ocupado el inmueble por las tropas tanto realistas como liberales.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 1859 fueron confiscados los bienes eclesiásticos y desde entonces el Estado se convirtió en administrador de la Casa de la Misericordia.</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Desde esa fecha y hasta 1980, el edificio conocido como Hospicio Cabañas, fue siempre hogar sustituto par</w:t>
            </w:r>
            <w:r w:rsidR="00CB21D1">
              <w:rPr>
                <w:rFonts w:ascii="Calibri" w:hAnsi="Calibri" w:cs="Calibri"/>
                <w:color w:val="000000"/>
              </w:rPr>
              <w:t>a niña</w:t>
            </w:r>
            <w:r>
              <w:rPr>
                <w:rFonts w:ascii="Calibri" w:hAnsi="Calibri" w:cs="Calibri"/>
                <w:color w:val="000000"/>
              </w:rPr>
              <w:t>s y niñ</w:t>
            </w:r>
            <w:r w:rsidR="00CB21D1">
              <w:rPr>
                <w:rFonts w:ascii="Calibri" w:hAnsi="Calibri" w:cs="Calibri"/>
                <w:color w:val="000000"/>
              </w:rPr>
              <w:t>o</w:t>
            </w:r>
            <w:r>
              <w:rPr>
                <w:rFonts w:ascii="Calibri" w:hAnsi="Calibri" w:cs="Calibri"/>
                <w:color w:val="000000"/>
              </w:rPr>
              <w:t>s que carecían de él.</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 la actualidad, el edificio conocido como "Hospicio Cabañas" dejó de ser el albergue de los menores para convertirse en la sede del "Instituto Cultural Cabañas".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B21D1"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Las niña</w:t>
            </w:r>
            <w:r w:rsidR="00C85CAF">
              <w:rPr>
                <w:rFonts w:ascii="Calibri" w:hAnsi="Calibri" w:cs="Calibri"/>
                <w:color w:val="000000"/>
              </w:rPr>
              <w:t>s y l</w:t>
            </w:r>
            <w:r>
              <w:rPr>
                <w:rFonts w:ascii="Calibri" w:hAnsi="Calibri" w:cs="Calibri"/>
                <w:color w:val="000000"/>
              </w:rPr>
              <w:t>o</w:t>
            </w:r>
            <w:r w:rsidR="00C85CAF">
              <w:rPr>
                <w:rFonts w:ascii="Calibri" w:hAnsi="Calibri" w:cs="Calibri"/>
                <w:color w:val="000000"/>
              </w:rPr>
              <w:t>s niñ</w:t>
            </w:r>
            <w:r>
              <w:rPr>
                <w:rFonts w:ascii="Calibri" w:hAnsi="Calibri" w:cs="Calibri"/>
                <w:color w:val="000000"/>
              </w:rPr>
              <w:t>o</w:t>
            </w:r>
            <w:r w:rsidR="00C85CAF">
              <w:rPr>
                <w:rFonts w:ascii="Calibri" w:hAnsi="Calibri" w:cs="Calibri"/>
                <w:color w:val="000000"/>
              </w:rPr>
              <w:t>s del hoy "Hogar Cabañas" se encuentran en</w:t>
            </w:r>
            <w:r w:rsidR="00FB4570">
              <w:rPr>
                <w:rFonts w:ascii="Calibri" w:hAnsi="Calibri" w:cs="Calibri"/>
                <w:color w:val="000000"/>
              </w:rPr>
              <w:t xml:space="preserve"> Ave.</w:t>
            </w:r>
            <w:r w:rsidR="00C85CAF">
              <w:rPr>
                <w:rFonts w:ascii="Calibri" w:hAnsi="Calibri" w:cs="Calibri"/>
                <w:color w:val="000000"/>
              </w:rPr>
              <w:t xml:space="preserve"> Mariano Otero # 2145 en la colonia Residencial Victoria, </w:t>
            </w:r>
            <w:r w:rsidR="00FB4570">
              <w:rPr>
                <w:rFonts w:ascii="Calibri" w:hAnsi="Calibri" w:cs="Calibri"/>
                <w:color w:val="000000"/>
              </w:rPr>
              <w:t xml:space="preserve">en el Municipio de </w:t>
            </w:r>
            <w:r w:rsidR="00C85CAF">
              <w:rPr>
                <w:rFonts w:ascii="Calibri" w:hAnsi="Calibri" w:cs="Calibri"/>
                <w:color w:val="000000"/>
              </w:rPr>
              <w:t>Zapopan Jalisco.</w:t>
            </w:r>
            <w:r>
              <w:rPr>
                <w:rFonts w:ascii="Calibri" w:hAnsi="Calibri" w:cs="Calibri"/>
                <w:color w:val="000000"/>
              </w:rPr>
              <w:t xml:space="preserve"> Los varones mayores de 12 años se encuentran habitando en la calle Damián Carmona No.275 en la colonia la penal en el municipio de Guadalajara Jalisco.</w:t>
            </w:r>
          </w:p>
          <w:p w:rsidR="00CB1BBD" w:rsidRDefault="00CB1BBD"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El Hogar Cabañas</w:t>
            </w:r>
            <w:r>
              <w:rPr>
                <w:rFonts w:ascii="Calibri" w:hAnsi="Calibri" w:cs="Calibri"/>
                <w:b/>
                <w:bCs/>
                <w:color w:val="000000"/>
              </w:rPr>
              <w:t>,</w:t>
            </w:r>
            <w:r>
              <w:rPr>
                <w:rFonts w:ascii="Calibri" w:hAnsi="Calibri" w:cs="Calibri"/>
                <w:color w:val="000000"/>
              </w:rPr>
              <w:t xml:space="preserve"> es un Organismo Público Descentralizado del Gobierno del Estado de Jalisco, cuenta con personalidad jurídica y patrimonio propio. Fue constituido mediante Decreto de creación no. 10,362, aprobado por el H. Congreso del Estado de Jalisco con fecha 5 de febrero </w:t>
            </w:r>
            <w:r w:rsidR="00CB1BBD">
              <w:rPr>
                <w:rFonts w:ascii="Calibri" w:hAnsi="Calibri" w:cs="Calibri"/>
                <w:color w:val="000000"/>
              </w:rPr>
              <w:t xml:space="preserve">de 1981. El 15 de enero de 1998, </w:t>
            </w:r>
            <w:r>
              <w:rPr>
                <w:rFonts w:ascii="Calibri" w:hAnsi="Calibri" w:cs="Calibri"/>
                <w:color w:val="000000"/>
              </w:rPr>
              <w:t xml:space="preserve">se expide el Decreto </w:t>
            </w:r>
            <w:r w:rsidR="00CB1BBD">
              <w:rPr>
                <w:rFonts w:ascii="Calibri" w:hAnsi="Calibri" w:cs="Calibri"/>
                <w:color w:val="000000"/>
              </w:rPr>
              <w:t xml:space="preserve">no. </w:t>
            </w:r>
            <w:r>
              <w:rPr>
                <w:rFonts w:ascii="Calibri" w:hAnsi="Calibri" w:cs="Calibri"/>
                <w:color w:val="000000"/>
              </w:rPr>
              <w:t>17002 que contiene el Código de Asistencia Social del Estado de Jalisco, qu</w:t>
            </w:r>
            <w:r w:rsidR="00FB4570">
              <w:rPr>
                <w:rFonts w:ascii="Calibri" w:hAnsi="Calibri" w:cs="Calibri"/>
                <w:color w:val="000000"/>
              </w:rPr>
              <w:t>e regulará a las Instituciones a</w:t>
            </w:r>
            <w:r>
              <w:rPr>
                <w:rFonts w:ascii="Calibri" w:hAnsi="Calibri" w:cs="Calibri"/>
                <w:color w:val="000000"/>
              </w:rPr>
              <w:t>sistenciales del Estado de Jalisco, entre ellas nuestro organismo. El 24 de octubre de 2009 se realiza una reforma al Código de Asistencia Social para determinar el cambio de razón Social a "Hogar Juan Cruz Ruiz de Cabañas y Crespo indistintamente conocido como "Hogar Cabañas".</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p>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4.- Organización y objeto Social</w:t>
            </w:r>
          </w:p>
          <w:p w:rsidR="00C85CAF" w:rsidRDefault="00C85CAF"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362"/>
        </w:trPr>
        <w:tc>
          <w:tcPr>
            <w:tcW w:w="8717" w:type="dxa"/>
            <w:gridSpan w:val="6"/>
            <w:tcBorders>
              <w:top w:val="nil"/>
              <w:left w:val="nil"/>
              <w:bottom w:val="nil"/>
              <w:right w:val="nil"/>
            </w:tcBorders>
          </w:tcPr>
          <w:p w:rsidR="00C85CAF" w:rsidRPr="00BF3E79" w:rsidRDefault="00C85CAF" w:rsidP="00C85CAF">
            <w:pPr>
              <w:pStyle w:val="Prrafodelista"/>
              <w:numPr>
                <w:ilvl w:val="0"/>
                <w:numId w:val="4"/>
              </w:numPr>
              <w:autoSpaceDE w:val="0"/>
              <w:autoSpaceDN w:val="0"/>
              <w:adjustRightInd w:val="0"/>
              <w:spacing w:after="0" w:line="240" w:lineRule="auto"/>
              <w:rPr>
                <w:rFonts w:ascii="Calibri" w:hAnsi="Calibri" w:cs="Calibri"/>
                <w:b/>
                <w:color w:val="000000"/>
              </w:rPr>
            </w:pPr>
            <w:r>
              <w:rPr>
                <w:rFonts w:ascii="Calibri" w:hAnsi="Calibri" w:cs="Calibri"/>
                <w:b/>
                <w:color w:val="000000"/>
              </w:rPr>
              <w:t>Objeto Social</w:t>
            </w:r>
            <w:r w:rsidRPr="00BF3E79">
              <w:rPr>
                <w:rFonts w:ascii="Calibri" w:hAnsi="Calibri" w:cs="Calibri"/>
                <w:b/>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 La asistencia material y educativa a los menores albergados en el Hogar Cabañas en los términos del artículo 439 del Código Civil del Estado, como la protección y tutela de los mismos.</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II.- Inculcar en la niñez que se encuentra albergada en el Hogar Cabañas, los principios de solidaridad social.</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III.- Fungir como delegado Institucional del Consejo Estatal de la Familia para los efectos del artículo 52 de este Código respecto de los menores albergados en el Hogar Cabañas que no tengan con quien ejerza la patria potestad.</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IV.- Fomentar a los menores, los valores del espíritu que les permita desarrollarse plenamente en las condiciones actuales de la vida social.</w:t>
            </w: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Pr="00565068" w:rsidRDefault="00C85CAF" w:rsidP="00107AA4">
            <w:pPr>
              <w:autoSpaceDE w:val="0"/>
              <w:autoSpaceDN w:val="0"/>
              <w:adjustRightInd w:val="0"/>
              <w:spacing w:after="0" w:line="240" w:lineRule="auto"/>
              <w:jc w:val="both"/>
              <w:rPr>
                <w:rFonts w:cstheme="minorHAnsi"/>
                <w:color w:val="000000"/>
              </w:rPr>
            </w:pPr>
            <w:r w:rsidRPr="00565068">
              <w:rPr>
                <w:rFonts w:cstheme="minorHAnsi"/>
                <w:color w:val="000000"/>
              </w:rPr>
              <w:t>V.- La promoción de toda la clase de actividades para obtener recursos destinados al aumento de fondos del Hogar Cabañas.</w:t>
            </w:r>
          </w:p>
          <w:p w:rsidR="00565068" w:rsidRPr="00565068" w:rsidRDefault="00565068" w:rsidP="00107AA4">
            <w:pPr>
              <w:autoSpaceDE w:val="0"/>
              <w:autoSpaceDN w:val="0"/>
              <w:adjustRightInd w:val="0"/>
              <w:spacing w:after="0" w:line="240" w:lineRule="auto"/>
              <w:jc w:val="both"/>
              <w:rPr>
                <w:rFonts w:cstheme="minorHAnsi"/>
                <w:color w:val="000000"/>
              </w:rPr>
            </w:pPr>
          </w:p>
          <w:p w:rsidR="00565068" w:rsidRPr="00565068" w:rsidRDefault="00565068" w:rsidP="00107AA4">
            <w:pPr>
              <w:autoSpaceDE w:val="0"/>
              <w:autoSpaceDN w:val="0"/>
              <w:adjustRightInd w:val="0"/>
              <w:spacing w:after="0" w:line="240" w:lineRule="auto"/>
              <w:jc w:val="both"/>
              <w:rPr>
                <w:rFonts w:ascii="Arial" w:hAnsi="Arial" w:cs="Arial"/>
                <w:color w:val="000000"/>
                <w:sz w:val="24"/>
                <w:szCs w:val="24"/>
              </w:rPr>
            </w:pPr>
            <w:r w:rsidRPr="00565068">
              <w:rPr>
                <w:rFonts w:cstheme="minorHAnsi"/>
              </w:rPr>
              <w:t>VI. Conservar y acrecentar el patrimonio del Hogar Cabañas; y VII. Aceptar o repudiar las herencias, legados y donaciones, rechazándolos cuando impliquen mayores c</w:t>
            </w:r>
            <w:r>
              <w:rPr>
                <w:rFonts w:cstheme="minorHAnsi"/>
              </w:rPr>
              <w:t>argas que beneficios.</w:t>
            </w: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107AA4">
            <w:pPr>
              <w:pStyle w:val="Prrafodelista"/>
              <w:autoSpaceDE w:val="0"/>
              <w:autoSpaceDN w:val="0"/>
              <w:adjustRightInd w:val="0"/>
              <w:spacing w:after="0" w:line="240" w:lineRule="auto"/>
              <w:rPr>
                <w:rFonts w:ascii="Calibri" w:hAnsi="Calibri" w:cs="Calibri"/>
                <w:b/>
                <w:color w:val="000000"/>
              </w:rPr>
            </w:pPr>
          </w:p>
          <w:p w:rsidR="00C85CAF" w:rsidRPr="00BF3E79" w:rsidRDefault="00C85CAF" w:rsidP="00C85CAF">
            <w:pPr>
              <w:pStyle w:val="Prrafodelista"/>
              <w:numPr>
                <w:ilvl w:val="0"/>
                <w:numId w:val="4"/>
              </w:numPr>
              <w:autoSpaceDE w:val="0"/>
              <w:autoSpaceDN w:val="0"/>
              <w:adjustRightInd w:val="0"/>
              <w:spacing w:after="0" w:line="240" w:lineRule="auto"/>
              <w:rPr>
                <w:rFonts w:ascii="Calibri" w:hAnsi="Calibri" w:cs="Calibri"/>
                <w:b/>
                <w:color w:val="000000"/>
              </w:rPr>
            </w:pPr>
            <w:r>
              <w:rPr>
                <w:rFonts w:ascii="Calibri" w:hAnsi="Calibri" w:cs="Calibri"/>
                <w:b/>
                <w:color w:val="000000"/>
              </w:rPr>
              <w:t>Principal Actividad</w:t>
            </w:r>
            <w:r w:rsidRPr="00BF3E79">
              <w:rPr>
                <w:rFonts w:ascii="Calibri" w:hAnsi="Calibri" w:cs="Calibri"/>
                <w:b/>
                <w:color w:val="000000"/>
              </w:rPr>
              <w:t>:</w:t>
            </w:r>
          </w:p>
          <w:p w:rsidR="00C85CAF" w:rsidRDefault="00C85CAF" w:rsidP="00107AA4">
            <w:pPr>
              <w:autoSpaceDE w:val="0"/>
              <w:autoSpaceDN w:val="0"/>
              <w:adjustRightInd w:val="0"/>
              <w:spacing w:after="0" w:line="240" w:lineRule="auto"/>
              <w:rPr>
                <w:rFonts w:ascii="Calibri" w:hAnsi="Calibri" w:cs="Calibri"/>
                <w:color w:val="000000"/>
              </w:rPr>
            </w:pPr>
            <w:r>
              <w:rPr>
                <w:rFonts w:ascii="Calibri" w:hAnsi="Calibri" w:cs="Calibri"/>
                <w:color w:val="000000"/>
              </w:rPr>
              <w:t>La actividad principal del Hogar Cabañas, es la atención integral a los niñas, niños y adolescentes que se encuentran en situación de vulnerabilidad, derivados por las autoridades competentes, con el objetivo de formarlos e integrarlos a la sociedad.</w:t>
            </w:r>
          </w:p>
          <w:p w:rsidR="00C85CAF" w:rsidRPr="00BF3E79" w:rsidRDefault="00C85CAF" w:rsidP="00107AA4">
            <w:pPr>
              <w:autoSpaceDE w:val="0"/>
              <w:autoSpaceDN w:val="0"/>
              <w:adjustRightInd w:val="0"/>
              <w:spacing w:after="0" w:line="240" w:lineRule="auto"/>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Pr="001D610A" w:rsidRDefault="00C85CAF" w:rsidP="00C85CAF">
            <w:pPr>
              <w:pStyle w:val="Prrafodelista"/>
              <w:numPr>
                <w:ilvl w:val="0"/>
                <w:numId w:val="4"/>
              </w:numPr>
              <w:autoSpaceDE w:val="0"/>
              <w:autoSpaceDN w:val="0"/>
              <w:adjustRightInd w:val="0"/>
              <w:spacing w:after="0" w:line="240" w:lineRule="auto"/>
              <w:jc w:val="both"/>
              <w:rPr>
                <w:rFonts w:ascii="Calibri" w:hAnsi="Calibri" w:cs="Calibri"/>
                <w:b/>
                <w:color w:val="000000"/>
              </w:rPr>
            </w:pPr>
            <w:r w:rsidRPr="001D610A">
              <w:rPr>
                <w:rFonts w:ascii="Calibri" w:hAnsi="Calibri" w:cs="Calibri"/>
                <w:b/>
                <w:color w:val="000000"/>
              </w:rPr>
              <w:t>Ejercicio Fiscal:</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ejercicio fiscal corresponde al ejercici</w:t>
            </w:r>
            <w:r w:rsidR="00FB4570">
              <w:rPr>
                <w:rFonts w:ascii="Calibri" w:hAnsi="Calibri" w:cs="Calibri"/>
                <w:color w:val="000000"/>
              </w:rPr>
              <w:t xml:space="preserve">o </w:t>
            </w:r>
            <w:r w:rsidR="000441E1">
              <w:rPr>
                <w:rFonts w:ascii="Calibri" w:hAnsi="Calibri" w:cs="Calibri"/>
                <w:color w:val="000000"/>
              </w:rPr>
              <w:t>comprendido del primero de Enero al 31 de Diciembre de 2018.</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Pr="001D610A" w:rsidRDefault="00C85CAF" w:rsidP="00C85CAF">
            <w:pPr>
              <w:pStyle w:val="Prrafodelista"/>
              <w:numPr>
                <w:ilvl w:val="0"/>
                <w:numId w:val="4"/>
              </w:numPr>
              <w:autoSpaceDE w:val="0"/>
              <w:autoSpaceDN w:val="0"/>
              <w:adjustRightInd w:val="0"/>
              <w:spacing w:after="0" w:line="240" w:lineRule="auto"/>
              <w:jc w:val="both"/>
              <w:rPr>
                <w:rFonts w:ascii="Calibri" w:hAnsi="Calibri" w:cs="Calibri"/>
                <w:color w:val="000000"/>
              </w:rPr>
            </w:pPr>
            <w:r w:rsidRPr="001D610A">
              <w:rPr>
                <w:rFonts w:ascii="Calibri" w:hAnsi="Calibri" w:cs="Calibri"/>
                <w:b/>
                <w:color w:val="000000"/>
              </w:rPr>
              <w:t>Régimen Jurídico</w:t>
            </w:r>
            <w:r w:rsidRPr="001D610A">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es un Organismo Público Descentralizado del Gobierno del Estado de Jalisco.</w:t>
            </w:r>
          </w:p>
          <w:p w:rsidR="00C85CAF" w:rsidRDefault="00C85CAF" w:rsidP="00107AA4">
            <w:pPr>
              <w:autoSpaceDE w:val="0"/>
              <w:autoSpaceDN w:val="0"/>
              <w:adjustRightInd w:val="0"/>
              <w:spacing w:after="0" w:line="240" w:lineRule="auto"/>
              <w:jc w:val="both"/>
              <w:rPr>
                <w:rFonts w:ascii="Calibri" w:hAnsi="Calibri" w:cs="Calibri"/>
                <w:color w:val="000000"/>
              </w:rPr>
            </w:pPr>
          </w:p>
          <w:p w:rsidR="000441E1" w:rsidRDefault="000441E1" w:rsidP="000441E1">
            <w:pPr>
              <w:autoSpaceDE w:val="0"/>
              <w:autoSpaceDN w:val="0"/>
              <w:adjustRightInd w:val="0"/>
              <w:spacing w:after="0" w:line="240" w:lineRule="auto"/>
              <w:ind w:left="360"/>
              <w:jc w:val="both"/>
              <w:rPr>
                <w:rFonts w:ascii="Calibri" w:hAnsi="Calibri" w:cs="Calibri"/>
                <w:b/>
                <w:color w:val="000000"/>
              </w:rPr>
            </w:pPr>
          </w:p>
          <w:p w:rsidR="000441E1" w:rsidRDefault="000441E1" w:rsidP="000441E1">
            <w:pPr>
              <w:autoSpaceDE w:val="0"/>
              <w:autoSpaceDN w:val="0"/>
              <w:adjustRightInd w:val="0"/>
              <w:spacing w:after="0" w:line="240" w:lineRule="auto"/>
              <w:ind w:left="360"/>
              <w:jc w:val="both"/>
              <w:rPr>
                <w:rFonts w:ascii="Calibri" w:hAnsi="Calibri" w:cs="Calibri"/>
                <w:b/>
                <w:color w:val="000000"/>
              </w:rPr>
            </w:pPr>
          </w:p>
          <w:p w:rsidR="00C85CAF" w:rsidRPr="000441E1" w:rsidRDefault="00C85CAF" w:rsidP="000441E1">
            <w:pPr>
              <w:pStyle w:val="Prrafodelista"/>
              <w:numPr>
                <w:ilvl w:val="0"/>
                <w:numId w:val="4"/>
              </w:numPr>
              <w:autoSpaceDE w:val="0"/>
              <w:autoSpaceDN w:val="0"/>
              <w:adjustRightInd w:val="0"/>
              <w:spacing w:after="0" w:line="240" w:lineRule="auto"/>
              <w:jc w:val="both"/>
              <w:rPr>
                <w:rFonts w:ascii="Calibri" w:hAnsi="Calibri" w:cs="Calibri"/>
                <w:b/>
                <w:color w:val="000000"/>
              </w:rPr>
            </w:pPr>
            <w:r w:rsidRPr="000441E1">
              <w:rPr>
                <w:rFonts w:ascii="Calibri" w:hAnsi="Calibri" w:cs="Calibri"/>
                <w:b/>
                <w:color w:val="000000"/>
              </w:rPr>
              <w:lastRenderedPageBreak/>
              <w:t>Consideraciones fiscales: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El </w:t>
            </w:r>
            <w:r w:rsidR="008710C6">
              <w:rPr>
                <w:rFonts w:ascii="Calibri" w:hAnsi="Calibri" w:cs="Calibri"/>
                <w:color w:val="000000"/>
              </w:rPr>
              <w:t xml:space="preserve">Hogar Cabañas se encuentra regulado </w:t>
            </w:r>
            <w:r>
              <w:rPr>
                <w:rFonts w:ascii="Calibri" w:hAnsi="Calibri" w:cs="Calibri"/>
                <w:color w:val="000000"/>
              </w:rPr>
              <w:t xml:space="preserve"> por el Título III de la Ley del Impuesto Sobre la Renta, Régimen de Personas Morales con Fines no lucrativos y conforme a lo establecido en el artículo 86 de la Ley descrita, y las leyes a que estamos sujetos, el Hogar Ca</w:t>
            </w:r>
            <w:r w:rsidR="00FB4570">
              <w:rPr>
                <w:rFonts w:ascii="Calibri" w:hAnsi="Calibri" w:cs="Calibri"/>
                <w:color w:val="000000"/>
              </w:rPr>
              <w:t>ba</w:t>
            </w:r>
            <w:r>
              <w:rPr>
                <w:rFonts w:ascii="Calibri" w:hAnsi="Calibri" w:cs="Calibri"/>
                <w:color w:val="000000"/>
              </w:rPr>
              <w:t>ñas tiene las siguientes obligaciones fiscales: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1.- Retener y enterar los Impuestos que procedan.</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2.- Exigir la documentación que reúnan los requisitos fiscales.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3.- </w:t>
            </w:r>
            <w:r w:rsidR="00560D84">
              <w:rPr>
                <w:rFonts w:ascii="Calibri" w:hAnsi="Calibri" w:cs="Calibri"/>
                <w:color w:val="000000"/>
              </w:rPr>
              <w:t>Presentación e información en Ley de Prevención e Identificación de operaciones con recursos de procedencia ilícita.</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4.- Presentación periódica de declaraciones informativas.</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Pr="00555143" w:rsidRDefault="000441E1" w:rsidP="00C85CAF">
            <w:pPr>
              <w:pStyle w:val="Prrafodelista"/>
              <w:numPr>
                <w:ilvl w:val="0"/>
                <w:numId w:val="4"/>
              </w:numPr>
              <w:autoSpaceDE w:val="0"/>
              <w:autoSpaceDN w:val="0"/>
              <w:adjustRightInd w:val="0"/>
              <w:spacing w:after="0" w:line="240" w:lineRule="auto"/>
              <w:jc w:val="both"/>
              <w:rPr>
                <w:rFonts w:ascii="Calibri" w:hAnsi="Calibri" w:cs="Calibri"/>
                <w:color w:val="000000"/>
              </w:rPr>
            </w:pPr>
            <w:r>
              <w:rPr>
                <w:rFonts w:ascii="Calibri" w:hAnsi="Calibri" w:cs="Calibri"/>
                <w:b/>
                <w:color w:val="000000"/>
              </w:rPr>
              <w:t>Estructura organizacional b</w:t>
            </w:r>
            <w:r w:rsidR="00C85CAF" w:rsidRPr="00555143">
              <w:rPr>
                <w:rFonts w:ascii="Calibri" w:hAnsi="Calibri" w:cs="Calibri"/>
                <w:b/>
                <w:color w:val="000000"/>
              </w:rPr>
              <w:t>ásica</w:t>
            </w:r>
            <w:r w:rsidR="00C85CAF" w:rsidRPr="00555143">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Junta de Gobierno</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Dirección General</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Subdirección </w:t>
            </w:r>
            <w:r w:rsidR="00560D84">
              <w:rPr>
                <w:rFonts w:ascii="Calibri" w:hAnsi="Calibri" w:cs="Calibri"/>
                <w:color w:val="000000"/>
              </w:rPr>
              <w:t xml:space="preserve">Técnico </w:t>
            </w:r>
            <w:r>
              <w:rPr>
                <w:rFonts w:ascii="Calibri" w:hAnsi="Calibri" w:cs="Calibri"/>
                <w:color w:val="000000"/>
              </w:rPr>
              <w:t>Educativa</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Subdirección Administrativa</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Coordinaciones Generales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Encargados de áreas</w:t>
            </w:r>
          </w:p>
          <w:p w:rsidR="00C85CAF" w:rsidRDefault="00C85CAF" w:rsidP="00107AA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Áreas operativas y de soporte</w:t>
            </w:r>
            <w:r w:rsidR="00FB4570">
              <w:rPr>
                <w:rFonts w:ascii="Calibri" w:hAnsi="Calibri" w:cs="Calibri"/>
                <w:color w:val="000000"/>
              </w:rPr>
              <w:t>.</w:t>
            </w:r>
          </w:p>
          <w:p w:rsidR="00C85CAF" w:rsidRDefault="00C85CAF" w:rsidP="00107AA4">
            <w:pPr>
              <w:autoSpaceDE w:val="0"/>
              <w:autoSpaceDN w:val="0"/>
              <w:adjustRightInd w:val="0"/>
              <w:spacing w:after="0" w:line="240" w:lineRule="auto"/>
              <w:jc w:val="both"/>
              <w:rPr>
                <w:rFonts w:ascii="Calibri" w:hAnsi="Calibri" w:cs="Calibri"/>
                <w:color w:val="000000"/>
              </w:rPr>
            </w:pPr>
          </w:p>
          <w:p w:rsidR="00C85CAF" w:rsidRDefault="00C85CAF" w:rsidP="00107AA4">
            <w:pPr>
              <w:autoSpaceDE w:val="0"/>
              <w:autoSpaceDN w:val="0"/>
              <w:adjustRightInd w:val="0"/>
              <w:spacing w:after="0" w:line="240" w:lineRule="auto"/>
              <w:jc w:val="both"/>
              <w:rPr>
                <w:rFonts w:ascii="Calibri" w:hAnsi="Calibri" w:cs="Calibri"/>
                <w:b/>
                <w:color w:val="000000"/>
              </w:rPr>
            </w:pPr>
            <w:r w:rsidRPr="00555143">
              <w:rPr>
                <w:rFonts w:ascii="Calibri" w:hAnsi="Calibri" w:cs="Calibri"/>
                <w:b/>
                <w:color w:val="000000"/>
              </w:rPr>
              <w:t>5.- Bases de preparación de los Estado Financieros.</w:t>
            </w:r>
          </w:p>
          <w:p w:rsidR="000441E1" w:rsidRPr="00555143" w:rsidRDefault="000441E1" w:rsidP="00107AA4">
            <w:pPr>
              <w:autoSpaceDE w:val="0"/>
              <w:autoSpaceDN w:val="0"/>
              <w:adjustRightInd w:val="0"/>
              <w:spacing w:after="0" w:line="240" w:lineRule="auto"/>
              <w:jc w:val="both"/>
              <w:rPr>
                <w:rFonts w:ascii="Calibri" w:hAnsi="Calibri" w:cs="Calibri"/>
                <w:b/>
                <w:color w:val="000000"/>
              </w:rPr>
            </w:pPr>
          </w:p>
          <w:p w:rsidR="00C85CAF" w:rsidRDefault="00FB4570" w:rsidP="007D0755">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Al </w:t>
            </w:r>
            <w:r w:rsidR="000441E1">
              <w:rPr>
                <w:rFonts w:ascii="Calibri" w:hAnsi="Calibri" w:cs="Calibri"/>
                <w:color w:val="000000"/>
              </w:rPr>
              <w:t xml:space="preserve"> </w:t>
            </w:r>
            <w:r>
              <w:rPr>
                <w:rFonts w:ascii="Calibri" w:hAnsi="Calibri" w:cs="Calibri"/>
                <w:color w:val="000000"/>
              </w:rPr>
              <w:t>31</w:t>
            </w:r>
            <w:r w:rsidR="00C85CAF">
              <w:rPr>
                <w:rFonts w:ascii="Calibri" w:hAnsi="Calibri" w:cs="Calibri"/>
                <w:color w:val="000000"/>
              </w:rPr>
              <w:t xml:space="preserve"> de </w:t>
            </w:r>
            <w:r w:rsidR="000441E1">
              <w:rPr>
                <w:rFonts w:ascii="Calibri" w:hAnsi="Calibri" w:cs="Calibri"/>
                <w:color w:val="000000"/>
              </w:rPr>
              <w:t xml:space="preserve"> D</w:t>
            </w:r>
            <w:r>
              <w:rPr>
                <w:rFonts w:ascii="Calibri" w:hAnsi="Calibri" w:cs="Calibri"/>
                <w:color w:val="000000"/>
              </w:rPr>
              <w:t>ici</w:t>
            </w:r>
            <w:r w:rsidR="00C85CAF">
              <w:rPr>
                <w:rFonts w:ascii="Calibri" w:hAnsi="Calibri" w:cs="Calibri"/>
                <w:color w:val="000000"/>
              </w:rPr>
              <w:t>embre de 2018, el Organismo prepara sus Estados Financieros sobre la base de costo histórico original y con lo dispuesto por la Ley General de Contabilidad Gubernamental y las normas establecidas por el Consejo Nacional d</w:t>
            </w:r>
            <w:r w:rsidR="007D0755">
              <w:rPr>
                <w:rFonts w:ascii="Calibri" w:hAnsi="Calibri" w:cs="Calibri"/>
                <w:color w:val="000000"/>
              </w:rPr>
              <w:t>e Armonización Contable (CONAC) en base al devengado.</w:t>
            </w:r>
            <w:r w:rsidR="00C85CAF">
              <w:rPr>
                <w:rFonts w:ascii="Calibri" w:hAnsi="Calibri" w:cs="Calibri"/>
                <w:color w:val="000000"/>
              </w:rPr>
              <w:t xml:space="preserve"> Aunque cabe mencionar</w:t>
            </w:r>
            <w:r w:rsidR="007D0755">
              <w:rPr>
                <w:rFonts w:ascii="Calibri" w:hAnsi="Calibri" w:cs="Calibri"/>
                <w:color w:val="000000"/>
              </w:rPr>
              <w:t>,</w:t>
            </w:r>
            <w:r w:rsidR="00C85CAF">
              <w:rPr>
                <w:rFonts w:ascii="Calibri" w:hAnsi="Calibri" w:cs="Calibri"/>
                <w:color w:val="000000"/>
              </w:rPr>
              <w:t xml:space="preserve"> que el Sistema informático CONTPAQI no cumple con todos los requerimientos y consideraciones marcados en la</w:t>
            </w:r>
            <w:r w:rsidR="00560D84">
              <w:rPr>
                <w:rFonts w:ascii="Calibri" w:hAnsi="Calibri" w:cs="Calibri"/>
                <w:color w:val="000000"/>
              </w:rPr>
              <w:t>s normas emitidas por el CONAC S</w:t>
            </w:r>
            <w:r w:rsidR="00C85CAF">
              <w:rPr>
                <w:rFonts w:ascii="Calibri" w:hAnsi="Calibri" w:cs="Calibri"/>
                <w:color w:val="000000"/>
              </w:rPr>
              <w:t>e encuentra en proceso la implementación del sistema ICONG, (Sistema Integral de Gestión Gubernamental) que contemplaría la totalidad de dichos requerimientos.</w:t>
            </w:r>
            <w:r>
              <w:rPr>
                <w:rFonts w:ascii="Calibri" w:hAnsi="Calibri" w:cs="Calibri"/>
                <w:color w:val="000000"/>
              </w:rPr>
              <w:t xml:space="preserve"> Al cierre del Ejercicio y por circunstancias </w:t>
            </w:r>
            <w:r w:rsidR="00560D84">
              <w:rPr>
                <w:rFonts w:ascii="Calibri" w:hAnsi="Calibri" w:cs="Calibri"/>
                <w:color w:val="000000"/>
              </w:rPr>
              <w:t xml:space="preserve">ajenas al organismo el sistema </w:t>
            </w:r>
            <w:r>
              <w:rPr>
                <w:rFonts w:ascii="Calibri" w:hAnsi="Calibri" w:cs="Calibri"/>
                <w:color w:val="000000"/>
              </w:rPr>
              <w:t xml:space="preserve">Informático </w:t>
            </w:r>
            <w:r w:rsidR="00560D84">
              <w:rPr>
                <w:rFonts w:ascii="Calibri" w:hAnsi="Calibri" w:cs="Calibri"/>
                <w:color w:val="000000"/>
              </w:rPr>
              <w:t xml:space="preserve">ICONG </w:t>
            </w:r>
            <w:r>
              <w:rPr>
                <w:rFonts w:ascii="Calibri" w:hAnsi="Calibri" w:cs="Calibri"/>
                <w:color w:val="000000"/>
              </w:rPr>
              <w:t xml:space="preserve">dejó de tener funcionalidad, </w:t>
            </w:r>
            <w:r w:rsidR="00560D84">
              <w:rPr>
                <w:rFonts w:ascii="Calibri" w:hAnsi="Calibri" w:cs="Calibri"/>
                <w:color w:val="000000"/>
              </w:rPr>
              <w:t>por lo</w:t>
            </w:r>
            <w:r>
              <w:rPr>
                <w:rFonts w:ascii="Calibri" w:hAnsi="Calibri" w:cs="Calibri"/>
                <w:color w:val="000000"/>
              </w:rPr>
              <w:t xml:space="preserve"> que los Estados Financieros se prepararon en un</w:t>
            </w:r>
            <w:r w:rsidR="00560D84">
              <w:rPr>
                <w:rFonts w:ascii="Calibri" w:hAnsi="Calibri" w:cs="Calibri"/>
                <w:color w:val="000000"/>
              </w:rPr>
              <w:t>a</w:t>
            </w:r>
            <w:r>
              <w:rPr>
                <w:rFonts w:ascii="Calibri" w:hAnsi="Calibri" w:cs="Calibri"/>
                <w:color w:val="000000"/>
              </w:rPr>
              <w:t xml:space="preserve"> base distinta</w:t>
            </w:r>
            <w:r w:rsidR="007D0755">
              <w:rPr>
                <w:rFonts w:ascii="Calibri" w:hAnsi="Calibri" w:cs="Calibri"/>
                <w:color w:val="000000"/>
              </w:rPr>
              <w:t>,</w:t>
            </w:r>
            <w:r>
              <w:rPr>
                <w:rFonts w:ascii="Calibri" w:hAnsi="Calibri" w:cs="Calibri"/>
                <w:color w:val="000000"/>
              </w:rPr>
              <w:t xml:space="preserve"> de m</w:t>
            </w:r>
            <w:r w:rsidR="007D0755">
              <w:rPr>
                <w:rFonts w:ascii="Calibri" w:hAnsi="Calibri" w:cs="Calibri"/>
                <w:color w:val="000000"/>
              </w:rPr>
              <w:t>ane</w:t>
            </w:r>
            <w:r w:rsidR="00560D84">
              <w:rPr>
                <w:rFonts w:ascii="Calibri" w:hAnsi="Calibri" w:cs="Calibri"/>
                <w:color w:val="000000"/>
              </w:rPr>
              <w:t>ra manual para su emisión</w:t>
            </w:r>
            <w:r w:rsidR="007D0755">
              <w:rPr>
                <w:rFonts w:ascii="Calibri" w:hAnsi="Calibri" w:cs="Calibri"/>
                <w:color w:val="000000"/>
              </w:rPr>
              <w:t>.</w:t>
            </w:r>
          </w:p>
          <w:p w:rsidR="007D0755" w:rsidRDefault="007D0755" w:rsidP="007D0755">
            <w:pPr>
              <w:autoSpaceDE w:val="0"/>
              <w:autoSpaceDN w:val="0"/>
              <w:adjustRightInd w:val="0"/>
              <w:spacing w:after="0" w:line="240" w:lineRule="auto"/>
              <w:jc w:val="both"/>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lastRenderedPageBreak/>
              <w:t>6.- Políticas de Contabilidad Significativas</w:t>
            </w:r>
          </w:p>
        </w:tc>
        <w:tc>
          <w:tcPr>
            <w:tcW w:w="1870" w:type="dxa"/>
            <w:gridSpan w:val="2"/>
            <w:tcBorders>
              <w:top w:val="nil"/>
              <w:left w:val="nil"/>
              <w:bottom w:val="nil"/>
              <w:right w:val="nil"/>
            </w:tcBorders>
          </w:tcPr>
          <w:p w:rsidR="00C85CAF" w:rsidRDefault="00C85CAF" w:rsidP="00565068">
            <w:pPr>
              <w:autoSpaceDE w:val="0"/>
              <w:autoSpaceDN w:val="0"/>
              <w:adjustRightInd w:val="0"/>
              <w:spacing w:after="0" w:line="240" w:lineRule="auto"/>
              <w:ind w:left="-4415" w:right="-2785"/>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565068" w:rsidRDefault="00565068" w:rsidP="00107AA4">
            <w:pPr>
              <w:autoSpaceDE w:val="0"/>
              <w:autoSpaceDN w:val="0"/>
              <w:adjustRightInd w:val="0"/>
              <w:spacing w:after="0" w:line="240" w:lineRule="auto"/>
              <w:jc w:val="both"/>
              <w:rPr>
                <w:rFonts w:ascii="Calibri" w:hAnsi="Calibri" w:cs="Calibri"/>
                <w:color w:val="000000"/>
              </w:rPr>
            </w:pPr>
          </w:p>
          <w:p w:rsidR="00565068" w:rsidRPr="00565068" w:rsidRDefault="00565068" w:rsidP="000441E1">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Actualización: Durante el ejercicio de 2018 no fue realizada ninguna actualización del valor de los activos, ya que se realizó un inventario físico total, sin haber logrado la conciliación con los registros contables, por lo que en el ejercicio de 2019 se llevará a cabo, logrando con esto la actualización del valor de los activos que se encuentren en condiciones de uso, de acuerdo a las normas de la CONAC.</w:t>
            </w:r>
          </w:p>
          <w:p w:rsidR="00565068" w:rsidRP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Operaciones en el extranjero: No se llevó a cabo ninguna operación en el extranjero, por lo que no tuvo efectos en la información financiera gubernamental.</w:t>
            </w:r>
          </w:p>
          <w:p w:rsidR="00565068" w:rsidRP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Método de valuación de la</w:t>
            </w:r>
            <w:r>
              <w:rPr>
                <w:rFonts w:ascii="Calibri" w:hAnsi="Calibri" w:cs="Calibri"/>
                <w:color w:val="000000"/>
              </w:rPr>
              <w:t>s</w:t>
            </w:r>
            <w:r w:rsidRPr="00565068">
              <w:rPr>
                <w:rFonts w:ascii="Calibri" w:hAnsi="Calibri" w:cs="Calibri"/>
                <w:color w:val="000000"/>
              </w:rPr>
              <w:t xml:space="preserve"> inversiones en acciones de compañías subsidiarias no consolidadas y asociadas: El Hogar Cabañas no cuenta con inversiones en compañías </w:t>
            </w:r>
            <w:r w:rsidRPr="00565068">
              <w:rPr>
                <w:rFonts w:ascii="Calibri" w:hAnsi="Calibri" w:cs="Calibri"/>
                <w:color w:val="000000"/>
              </w:rPr>
              <w:lastRenderedPageBreak/>
              <w:t>subsidiarias no consolidadas y asociadas por lo que no existe un método de valuación de inversiones.</w:t>
            </w:r>
          </w:p>
          <w:p w:rsidR="00565068" w:rsidRP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Sistema y método de valuación de inventarios: El Hogar Cabañas utiliza el Siste</w:t>
            </w:r>
            <w:r>
              <w:rPr>
                <w:rFonts w:ascii="Calibri" w:hAnsi="Calibri" w:cs="Calibri"/>
                <w:color w:val="000000"/>
              </w:rPr>
              <w:t xml:space="preserve">ma de inventarios perpetuos, así </w:t>
            </w:r>
            <w:r w:rsidRPr="00565068">
              <w:rPr>
                <w:rFonts w:ascii="Calibri" w:hAnsi="Calibri" w:cs="Calibri"/>
                <w:color w:val="000000"/>
              </w:rPr>
              <w:t xml:space="preserve">como el método de costos promedios para </w:t>
            </w:r>
            <w:r>
              <w:rPr>
                <w:rFonts w:ascii="Calibri" w:hAnsi="Calibri" w:cs="Calibri"/>
                <w:color w:val="000000"/>
              </w:rPr>
              <w:t>s</w:t>
            </w:r>
            <w:r w:rsidRPr="00565068">
              <w:rPr>
                <w:rFonts w:ascii="Calibri" w:hAnsi="Calibri" w:cs="Calibri"/>
                <w:color w:val="000000"/>
              </w:rPr>
              <w:t xml:space="preserve">u valuación. </w:t>
            </w:r>
          </w:p>
          <w:p w:rsidR="00565068" w:rsidRDefault="00565068" w:rsidP="00565068">
            <w:pPr>
              <w:numPr>
                <w:ilvl w:val="0"/>
                <w:numId w:val="5"/>
              </w:numPr>
              <w:autoSpaceDE w:val="0"/>
              <w:autoSpaceDN w:val="0"/>
              <w:adjustRightInd w:val="0"/>
              <w:spacing w:after="0" w:line="240" w:lineRule="auto"/>
              <w:contextualSpacing/>
              <w:jc w:val="both"/>
              <w:rPr>
                <w:rFonts w:ascii="Calibri" w:hAnsi="Calibri" w:cs="Calibri"/>
                <w:color w:val="000000"/>
              </w:rPr>
            </w:pPr>
            <w:r w:rsidRPr="00565068">
              <w:rPr>
                <w:rFonts w:ascii="Calibri" w:hAnsi="Calibri" w:cs="Calibri"/>
                <w:color w:val="000000"/>
              </w:rPr>
              <w:t>Beneficios a empleados: El Hogar Cabañas no realiza el cálculo de la reserva</w:t>
            </w:r>
            <w:r w:rsidR="00A15009">
              <w:rPr>
                <w:rFonts w:ascii="Calibri" w:hAnsi="Calibri" w:cs="Calibri"/>
                <w:color w:val="000000"/>
              </w:rPr>
              <w:t xml:space="preserve"> a</w:t>
            </w:r>
            <w:r w:rsidRPr="00565068">
              <w:rPr>
                <w:rFonts w:ascii="Calibri" w:hAnsi="Calibri" w:cs="Calibri"/>
                <w:color w:val="000000"/>
              </w:rPr>
              <w:t>ctuarial, sin embargo de acuerdo a la normatividad de la CONAC se realiza la estimación de los siguientes 5 ejercicios en lo referente a los ingresos y la estimación de gastos.</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Provisiones: Se calculan y se registran las provisiones para pasivos contingentes, informadas en el Estado de pasivos contingentes, tomando en cuenta los compromisos totales de pago, tanto de los juicios en proceso como de los que pudieran realizarse en la totalidad del personal adscrito, sin que se hubiera creado una cuenta específica productiva para afrontar dichos compromisos. Sin embargo en el presupuesto aprobado para el 2018 fueron considerados importes para la </w:t>
            </w:r>
            <w:proofErr w:type="spellStart"/>
            <w:r>
              <w:rPr>
                <w:rFonts w:ascii="Calibri" w:hAnsi="Calibri" w:cs="Calibri"/>
                <w:color w:val="000000"/>
              </w:rPr>
              <w:t>sufragación</w:t>
            </w:r>
            <w:proofErr w:type="spellEnd"/>
            <w:r>
              <w:rPr>
                <w:rFonts w:ascii="Calibri" w:hAnsi="Calibri" w:cs="Calibri"/>
                <w:color w:val="000000"/>
              </w:rPr>
              <w:t xml:space="preserve"> de gastos por indemnizaciones de personal.</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Reservas: El Hogar Cabañas no ha creado reserva alguna.</w:t>
            </w:r>
          </w:p>
          <w:p w:rsidR="00A15009" w:rsidRP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Cambios en políticas contables y corrección de errores: El Hogar Cabañas en el ejercicio de 2018 realizó una corrección al resultado del ejercicio 2017, por la cantidad de $ 682,709.00 derivado de la devolución al Sistema </w:t>
            </w:r>
            <w:proofErr w:type="spellStart"/>
            <w:r>
              <w:rPr>
                <w:rFonts w:ascii="Calibri" w:hAnsi="Calibri" w:cs="Calibri"/>
                <w:color w:val="000000"/>
              </w:rPr>
              <w:t>Dif</w:t>
            </w:r>
            <w:proofErr w:type="spellEnd"/>
            <w:r>
              <w:rPr>
                <w:rFonts w:ascii="Calibri" w:hAnsi="Calibri" w:cs="Calibri"/>
                <w:color w:val="000000"/>
              </w:rPr>
              <w:t xml:space="preserve"> Jalisco de los recursos recibidos durante el ejercicio 2017 para la </w:t>
            </w:r>
            <w:proofErr w:type="spellStart"/>
            <w:r>
              <w:rPr>
                <w:rFonts w:ascii="Calibri" w:hAnsi="Calibri" w:cs="Calibri"/>
                <w:color w:val="000000"/>
              </w:rPr>
              <w:t>sufragación</w:t>
            </w:r>
            <w:proofErr w:type="spellEnd"/>
            <w:r>
              <w:rPr>
                <w:rFonts w:ascii="Calibri" w:hAnsi="Calibri" w:cs="Calibri"/>
                <w:color w:val="000000"/>
              </w:rPr>
              <w:t xml:space="preserve"> de gastos del Convenio de colaboración para la implementación del Albergue Filtro</w:t>
            </w:r>
            <w:r w:rsidR="000441E1">
              <w:rPr>
                <w:rFonts w:ascii="Calibri" w:hAnsi="Calibri" w:cs="Calibri"/>
                <w:color w:val="000000"/>
              </w:rPr>
              <w:t>,</w:t>
            </w:r>
            <w:r>
              <w:rPr>
                <w:rFonts w:ascii="Calibri" w:hAnsi="Calibri" w:cs="Calibri"/>
                <w:color w:val="000000"/>
              </w:rPr>
              <w:t xml:space="preserve"> autorización</w:t>
            </w:r>
            <w:r w:rsidR="000441E1">
              <w:rPr>
                <w:rFonts w:ascii="Calibri" w:hAnsi="Calibri" w:cs="Calibri"/>
                <w:color w:val="000000"/>
              </w:rPr>
              <w:t xml:space="preserve"> suscrita </w:t>
            </w:r>
            <w:r>
              <w:rPr>
                <w:rFonts w:ascii="Calibri" w:hAnsi="Calibri" w:cs="Calibri"/>
                <w:color w:val="000000"/>
              </w:rPr>
              <w:t>por la Junta de Gobierno</w:t>
            </w:r>
            <w:r w:rsidRPr="00A15009">
              <w:rPr>
                <w:rFonts w:ascii="Calibri" w:hAnsi="Calibri" w:cs="Calibri"/>
                <w:color w:val="000000"/>
              </w:rPr>
              <w:t>. De igual forma se corrigió el resultado del ejercicio 2017 por la cantidad de</w:t>
            </w:r>
            <w:r w:rsidR="00D06559">
              <w:rPr>
                <w:rFonts w:ascii="Calibri" w:hAnsi="Calibri" w:cs="Calibri"/>
                <w:color w:val="000000"/>
              </w:rPr>
              <w:t xml:space="preserve"> </w:t>
            </w:r>
            <w:r w:rsidRPr="00A15009">
              <w:rPr>
                <w:rFonts w:ascii="Calibri" w:hAnsi="Calibri" w:cs="Calibri"/>
                <w:color w:val="000000"/>
              </w:rPr>
              <w:t>$782</w:t>
            </w:r>
            <w:r w:rsidR="00D06559">
              <w:rPr>
                <w:rFonts w:ascii="Calibri" w:hAnsi="Calibri" w:cs="Calibri"/>
                <w:color w:val="000000"/>
              </w:rPr>
              <w:t>.00</w:t>
            </w:r>
            <w:r w:rsidRPr="00A15009">
              <w:rPr>
                <w:rFonts w:ascii="Calibri" w:hAnsi="Calibri" w:cs="Calibri"/>
                <w:color w:val="000000"/>
              </w:rPr>
              <w:t xml:space="preserve"> derivado de la cancelación de cobro de un proveedor.</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Reclasificaciones: Existieron reclasificaciones que no implican efectos importantes en las operaciones, se realizaron para dar congruencia con las operaciones efectuadas.</w:t>
            </w:r>
          </w:p>
          <w:p w:rsidR="00A15009" w:rsidRDefault="00A15009" w:rsidP="00A15009">
            <w:pPr>
              <w:pStyle w:val="Prrafodelista"/>
              <w:numPr>
                <w:ilvl w:val="0"/>
                <w:numId w:val="5"/>
              </w:num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Depuración y cancelación de saldos: </w:t>
            </w:r>
            <w:r w:rsidR="00D06559">
              <w:rPr>
                <w:rFonts w:ascii="Calibri" w:hAnsi="Calibri" w:cs="Calibri"/>
                <w:color w:val="000000"/>
              </w:rPr>
              <w:t>F</w:t>
            </w:r>
            <w:r>
              <w:rPr>
                <w:rFonts w:ascii="Calibri" w:hAnsi="Calibri" w:cs="Calibri"/>
                <w:color w:val="000000"/>
              </w:rPr>
              <w:t xml:space="preserve">ueron llevadas a cabo de manera mensual la depuración de las cuentas contables, afectando los movimientos correspondientes al Almacén general, Deudores Diversos, Acreedores Diversos, Impuestos por pagar, etc. </w:t>
            </w:r>
            <w:r w:rsidR="00D06559">
              <w:rPr>
                <w:rFonts w:ascii="Calibri" w:hAnsi="Calibri" w:cs="Calibri"/>
                <w:color w:val="000000"/>
              </w:rPr>
              <w:t>De igual forma se realizaron cancelaciones mínimas de importes derivados por condonación de pago de cuotas de aseguramiento de Seguros Sura, S.A. y cancelación de saldos por duplicidad en pago de facturas de Dolores Magdalena Rosales Rosas.</w:t>
            </w:r>
          </w:p>
          <w:p w:rsidR="00A15009" w:rsidRPr="000A1F92" w:rsidRDefault="00A15009" w:rsidP="00A15009">
            <w:pPr>
              <w:autoSpaceDE w:val="0"/>
              <w:autoSpaceDN w:val="0"/>
              <w:adjustRightInd w:val="0"/>
              <w:spacing w:after="0" w:line="240" w:lineRule="auto"/>
              <w:ind w:left="360"/>
              <w:jc w:val="both"/>
              <w:rPr>
                <w:rFonts w:ascii="Calibri" w:hAnsi="Calibri" w:cs="Calibri"/>
                <w:color w:val="000000"/>
              </w:rPr>
            </w:pPr>
          </w:p>
          <w:p w:rsidR="00C85CAF" w:rsidRDefault="00A15009" w:rsidP="00AD1DCF">
            <w:pPr>
              <w:numPr>
                <w:ilvl w:val="0"/>
                <w:numId w:val="5"/>
              </w:numPr>
              <w:autoSpaceDE w:val="0"/>
              <w:autoSpaceDN w:val="0"/>
              <w:adjustRightInd w:val="0"/>
              <w:spacing w:after="0" w:line="240" w:lineRule="auto"/>
              <w:contextualSpacing/>
              <w:jc w:val="both"/>
              <w:rPr>
                <w:rFonts w:ascii="Calibri" w:hAnsi="Calibri" w:cs="Calibri"/>
                <w:color w:val="000000"/>
              </w:rPr>
            </w:pPr>
            <w:r w:rsidRPr="00D06559">
              <w:rPr>
                <w:rFonts w:ascii="Calibri" w:hAnsi="Calibri" w:cs="Calibri"/>
                <w:color w:val="000000"/>
              </w:rPr>
              <w:t>La contabilidad se maneja con base en cifras acumuladas, pues sus transacciones son contabilizadas conforme a la fecha de su realización, independientemente de la de su pago, entendiéndose por ello el registro de operaciones devengadas, de conformidad con la Ley de Presupuesto, Contabilidad y Gasto público del Estado de Jalisco.</w:t>
            </w:r>
          </w:p>
        </w:tc>
      </w:tr>
      <w:tr w:rsidR="00C85CAF" w:rsidTr="00AB3902">
        <w:trPr>
          <w:gridAfter w:val="6"/>
          <w:wAfter w:w="8294" w:type="dxa"/>
          <w:trHeight w:val="290"/>
        </w:trPr>
        <w:tc>
          <w:tcPr>
            <w:tcW w:w="1656" w:type="dxa"/>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RPr="007E3523" w:rsidTr="00AB3902">
        <w:trPr>
          <w:gridAfter w:val="3"/>
          <w:wAfter w:w="3877" w:type="dxa"/>
          <w:trHeight w:val="290"/>
        </w:trPr>
        <w:tc>
          <w:tcPr>
            <w:tcW w:w="8717" w:type="dxa"/>
            <w:gridSpan w:val="6"/>
            <w:tcBorders>
              <w:top w:val="nil"/>
              <w:left w:val="nil"/>
              <w:bottom w:val="nil"/>
              <w:right w:val="nil"/>
            </w:tcBorders>
          </w:tcPr>
          <w:p w:rsidR="00C85CAF" w:rsidRPr="007E3523" w:rsidRDefault="00C85CAF" w:rsidP="00AD1DCF">
            <w:pPr>
              <w:autoSpaceDE w:val="0"/>
              <w:autoSpaceDN w:val="0"/>
              <w:adjustRightInd w:val="0"/>
              <w:spacing w:after="0" w:line="240" w:lineRule="auto"/>
              <w:jc w:val="both"/>
              <w:rPr>
                <w:rFonts w:ascii="Calibri" w:hAnsi="Calibri" w:cs="Calibri"/>
                <w:b/>
                <w:bCs/>
                <w:color w:val="000000"/>
              </w:rPr>
            </w:pPr>
          </w:p>
          <w:tbl>
            <w:tblPr>
              <w:tblW w:w="14405" w:type="dxa"/>
              <w:tblInd w:w="70" w:type="dxa"/>
              <w:tblLayout w:type="fixed"/>
              <w:tblCellMar>
                <w:left w:w="70" w:type="dxa"/>
                <w:right w:w="70" w:type="dxa"/>
              </w:tblCellMar>
              <w:tblLook w:val="0000" w:firstRow="0" w:lastRow="0" w:firstColumn="0" w:lastColumn="0" w:noHBand="0" w:noVBand="0"/>
            </w:tblPr>
            <w:tblGrid>
              <w:gridCol w:w="8507"/>
              <w:gridCol w:w="2949"/>
              <w:gridCol w:w="2949"/>
            </w:tblGrid>
            <w:tr w:rsidR="00AD1DCF" w:rsidRPr="007E3523" w:rsidTr="000441E1">
              <w:trPr>
                <w:gridAfter w:val="2"/>
                <w:wAfter w:w="5898" w:type="dxa"/>
                <w:trHeight w:val="290"/>
              </w:trPr>
              <w:tc>
                <w:tcPr>
                  <w:tcW w:w="8507" w:type="dxa"/>
                  <w:tcBorders>
                    <w:top w:val="nil"/>
                    <w:left w:val="nil"/>
                    <w:bottom w:val="nil"/>
                    <w:right w:val="nil"/>
                  </w:tcBorders>
                </w:tcPr>
                <w:p w:rsidR="00AD1DCF" w:rsidRPr="007E3523" w:rsidRDefault="00AD1DCF" w:rsidP="00AD1DCF">
                  <w:pPr>
                    <w:autoSpaceDE w:val="0"/>
                    <w:autoSpaceDN w:val="0"/>
                    <w:adjustRightInd w:val="0"/>
                    <w:spacing w:after="0" w:line="240" w:lineRule="auto"/>
                    <w:jc w:val="both"/>
                    <w:rPr>
                      <w:rFonts w:ascii="Calibri" w:hAnsi="Calibri" w:cs="Calibri"/>
                      <w:b/>
                      <w:bCs/>
                      <w:color w:val="000000"/>
                    </w:rPr>
                  </w:pPr>
                  <w:r w:rsidRPr="007E3523">
                    <w:rPr>
                      <w:rFonts w:ascii="Calibri" w:hAnsi="Calibri" w:cs="Calibri"/>
                      <w:b/>
                      <w:bCs/>
                      <w:color w:val="000000"/>
                    </w:rPr>
                    <w:t>7.-Posición en Moneda extranjera y protección por riesgos cambiarios.</w:t>
                  </w:r>
                </w:p>
                <w:p w:rsidR="00AD1DCF" w:rsidRPr="007E3523" w:rsidRDefault="00AD1DCF" w:rsidP="00AD1DCF">
                  <w:pPr>
                    <w:autoSpaceDE w:val="0"/>
                    <w:autoSpaceDN w:val="0"/>
                    <w:adjustRightInd w:val="0"/>
                    <w:spacing w:after="0" w:line="240" w:lineRule="auto"/>
                    <w:jc w:val="both"/>
                    <w:rPr>
                      <w:rFonts w:ascii="Calibri" w:hAnsi="Calibri" w:cs="Calibri"/>
                      <w:b/>
                      <w:bCs/>
                      <w:color w:val="000000"/>
                    </w:rPr>
                  </w:pPr>
                </w:p>
                <w:p w:rsidR="002E7325" w:rsidRPr="002E732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Activos en moneda extranjera: El Hogar Cabañas no cuenta con activos en moneda extranjera.</w:t>
                  </w:r>
                </w:p>
                <w:p w:rsidR="002E7325" w:rsidRPr="002E732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Pasivos en moneda extranjera: Se declara que los pasivos con que cuenta el Hogar Cabañas son en moneda nacional.</w:t>
                  </w:r>
                </w:p>
                <w:p w:rsidR="00561E1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 xml:space="preserve">Posición en moneda extranjera: Los precios de inversiones y mercancías se </w:t>
                  </w:r>
                </w:p>
                <w:p w:rsidR="002E7325" w:rsidRPr="002E7325" w:rsidRDefault="002E7325" w:rsidP="00561E15">
                  <w:pPr>
                    <w:autoSpaceDE w:val="0"/>
                    <w:autoSpaceDN w:val="0"/>
                    <w:adjustRightInd w:val="0"/>
                    <w:spacing w:after="0" w:line="240" w:lineRule="auto"/>
                    <w:ind w:left="720"/>
                    <w:contextualSpacing/>
                    <w:jc w:val="both"/>
                    <w:rPr>
                      <w:rFonts w:ascii="Calibri" w:hAnsi="Calibri" w:cs="Calibri"/>
                      <w:color w:val="000000"/>
                    </w:rPr>
                  </w:pPr>
                  <w:proofErr w:type="gramStart"/>
                  <w:r w:rsidRPr="002E7325">
                    <w:rPr>
                      <w:rFonts w:ascii="Calibri" w:hAnsi="Calibri" w:cs="Calibri"/>
                      <w:color w:val="000000"/>
                    </w:rPr>
                    <w:t>encuentran</w:t>
                  </w:r>
                  <w:proofErr w:type="gramEnd"/>
                  <w:r w:rsidRPr="002E7325">
                    <w:rPr>
                      <w:rFonts w:ascii="Calibri" w:hAnsi="Calibri" w:cs="Calibri"/>
                      <w:color w:val="000000"/>
                    </w:rPr>
                    <w:t xml:space="preserve">  valorados en moneda nacional.</w:t>
                  </w:r>
                </w:p>
                <w:p w:rsidR="002E7325" w:rsidRPr="002E7325" w:rsidRDefault="002E7325" w:rsidP="002E7325">
                  <w:pPr>
                    <w:numPr>
                      <w:ilvl w:val="0"/>
                      <w:numId w:val="6"/>
                    </w:numPr>
                    <w:autoSpaceDE w:val="0"/>
                    <w:autoSpaceDN w:val="0"/>
                    <w:adjustRightInd w:val="0"/>
                    <w:spacing w:after="0" w:line="240" w:lineRule="auto"/>
                    <w:contextualSpacing/>
                    <w:jc w:val="both"/>
                    <w:rPr>
                      <w:rFonts w:ascii="Calibri" w:hAnsi="Calibri" w:cs="Calibri"/>
                      <w:color w:val="000000"/>
                    </w:rPr>
                  </w:pPr>
                  <w:r w:rsidRPr="002E7325">
                    <w:rPr>
                      <w:rFonts w:ascii="Calibri" w:hAnsi="Calibri" w:cs="Calibri"/>
                      <w:color w:val="000000"/>
                    </w:rPr>
                    <w:t>Tipo de cambio: Al estar valoradas las inversiones y mercancías en moneda nacional, no se ha utilizado ninguno tipo de cambio para su conversión.</w:t>
                  </w:r>
                </w:p>
                <w:p w:rsidR="002E7325" w:rsidRPr="00561E15" w:rsidRDefault="002E7325" w:rsidP="002E7325">
                  <w:pPr>
                    <w:pStyle w:val="Prrafodelista"/>
                    <w:numPr>
                      <w:ilvl w:val="0"/>
                      <w:numId w:val="6"/>
                    </w:numPr>
                    <w:autoSpaceDE w:val="0"/>
                    <w:autoSpaceDN w:val="0"/>
                    <w:adjustRightInd w:val="0"/>
                    <w:spacing w:after="0" w:line="240" w:lineRule="auto"/>
                    <w:jc w:val="both"/>
                    <w:rPr>
                      <w:rFonts w:ascii="Calibri" w:hAnsi="Calibri" w:cs="Calibri"/>
                      <w:b/>
                      <w:bCs/>
                      <w:color w:val="000000"/>
                    </w:rPr>
                  </w:pPr>
                  <w:r w:rsidRPr="007E3523">
                    <w:rPr>
                      <w:rFonts w:ascii="Calibri" w:hAnsi="Calibri" w:cs="Calibri"/>
                      <w:color w:val="000000"/>
                    </w:rPr>
                    <w:t>Equivalente en moneda nacional: No aplica.</w:t>
                  </w:r>
                </w:p>
                <w:p w:rsidR="00561E15" w:rsidRDefault="00561E15" w:rsidP="00561E15">
                  <w:pPr>
                    <w:autoSpaceDE w:val="0"/>
                    <w:autoSpaceDN w:val="0"/>
                    <w:adjustRightInd w:val="0"/>
                    <w:spacing w:after="0" w:line="240" w:lineRule="auto"/>
                    <w:jc w:val="both"/>
                    <w:rPr>
                      <w:rFonts w:ascii="Calibri" w:hAnsi="Calibri" w:cs="Calibri"/>
                      <w:b/>
                      <w:bCs/>
                      <w:color w:val="000000"/>
                    </w:rPr>
                  </w:pPr>
                </w:p>
                <w:p w:rsidR="00561E15" w:rsidRDefault="00561E15" w:rsidP="00561E15">
                  <w:pPr>
                    <w:autoSpaceDE w:val="0"/>
                    <w:autoSpaceDN w:val="0"/>
                    <w:adjustRightInd w:val="0"/>
                    <w:spacing w:after="0" w:line="240" w:lineRule="auto"/>
                    <w:jc w:val="both"/>
                    <w:rPr>
                      <w:rFonts w:ascii="Calibri" w:hAnsi="Calibri" w:cs="Calibri"/>
                      <w:b/>
                      <w:bCs/>
                      <w:color w:val="000000"/>
                    </w:rPr>
                  </w:pPr>
                  <w:r>
                    <w:rPr>
                      <w:rFonts w:ascii="Calibri" w:hAnsi="Calibri" w:cs="Calibri"/>
                      <w:b/>
                      <w:bCs/>
                      <w:color w:val="000000"/>
                    </w:rPr>
                    <w:t>8.- Reporte analítico del activo</w:t>
                  </w:r>
                </w:p>
                <w:p w:rsidR="00561E15" w:rsidRDefault="00561E15" w:rsidP="00561E15">
                  <w:pPr>
                    <w:autoSpaceDE w:val="0"/>
                    <w:autoSpaceDN w:val="0"/>
                    <w:adjustRightInd w:val="0"/>
                    <w:spacing w:after="0" w:line="240" w:lineRule="auto"/>
                    <w:jc w:val="both"/>
                    <w:rPr>
                      <w:rFonts w:ascii="Calibri" w:hAnsi="Calibri" w:cs="Calibri"/>
                      <w:b/>
                      <w:bCs/>
                      <w:color w:val="000000"/>
                    </w:rPr>
                  </w:pPr>
                </w:p>
                <w:p w:rsidR="00561E15" w:rsidRDefault="00561E15" w:rsidP="00561E15">
                  <w:pPr>
                    <w:autoSpaceDE w:val="0"/>
                    <w:autoSpaceDN w:val="0"/>
                    <w:adjustRightInd w:val="0"/>
                    <w:spacing w:after="0" w:line="240" w:lineRule="auto"/>
                    <w:jc w:val="both"/>
                    <w:rPr>
                      <w:rFonts w:ascii="Calibri" w:hAnsi="Calibri" w:cs="Calibri"/>
                      <w:b/>
                      <w:bCs/>
                      <w:color w:val="000000"/>
                    </w:rPr>
                  </w:pPr>
                </w:p>
                <w:p w:rsidR="00561E15" w:rsidRPr="00561E15" w:rsidRDefault="000441E1" w:rsidP="00561E15">
                  <w:pPr>
                    <w:autoSpaceDE w:val="0"/>
                    <w:autoSpaceDN w:val="0"/>
                    <w:adjustRightInd w:val="0"/>
                    <w:spacing w:after="0" w:line="240" w:lineRule="auto"/>
                    <w:jc w:val="both"/>
                    <w:rPr>
                      <w:rFonts w:ascii="Calibri" w:hAnsi="Calibri" w:cs="Calibri"/>
                      <w:b/>
                      <w:bCs/>
                      <w:color w:val="000000"/>
                    </w:rPr>
                  </w:pPr>
                  <w:r>
                    <w:rPr>
                      <w:noProof/>
                      <w:lang w:eastAsia="es-MX"/>
                    </w:rPr>
                    <w:drawing>
                      <wp:inline distT="0" distB="0" distL="0" distR="0" wp14:anchorId="0139939E" wp14:editId="19A74601">
                        <wp:extent cx="5313045" cy="2093595"/>
                        <wp:effectExtent l="0" t="0" r="1905" b="1905"/>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313045" cy="2093595"/>
                                </a:xfrm>
                                <a:prstGeom prst="rect">
                                  <a:avLst/>
                                </a:prstGeom>
                              </pic:spPr>
                            </pic:pic>
                          </a:graphicData>
                        </a:graphic>
                      </wp:inline>
                    </w:drawing>
                  </w:r>
                </w:p>
                <w:p w:rsidR="002E7325" w:rsidRPr="007E3523" w:rsidRDefault="002E7325" w:rsidP="00AD1DCF">
                  <w:pPr>
                    <w:autoSpaceDE w:val="0"/>
                    <w:autoSpaceDN w:val="0"/>
                    <w:adjustRightInd w:val="0"/>
                    <w:spacing w:after="0" w:line="240" w:lineRule="auto"/>
                    <w:jc w:val="both"/>
                    <w:rPr>
                      <w:rFonts w:ascii="Calibri" w:hAnsi="Calibri" w:cs="Calibri"/>
                      <w:b/>
                      <w:bCs/>
                      <w:color w:val="000000"/>
                    </w:rPr>
                  </w:pPr>
                </w:p>
                <w:p w:rsidR="002E7325" w:rsidRPr="007E3523" w:rsidRDefault="002E7325" w:rsidP="00AD1DCF">
                  <w:pPr>
                    <w:autoSpaceDE w:val="0"/>
                    <w:autoSpaceDN w:val="0"/>
                    <w:adjustRightInd w:val="0"/>
                    <w:spacing w:after="0" w:line="240" w:lineRule="auto"/>
                    <w:jc w:val="both"/>
                    <w:rPr>
                      <w:rFonts w:ascii="Calibri" w:hAnsi="Calibri" w:cs="Calibri"/>
                      <w:b/>
                      <w:bCs/>
                      <w:color w:val="000000"/>
                    </w:rPr>
                  </w:pPr>
                </w:p>
                <w:p w:rsidR="002E7325" w:rsidRPr="000441E1" w:rsidRDefault="000441E1" w:rsidP="00AD1DCF">
                  <w:pPr>
                    <w:autoSpaceDE w:val="0"/>
                    <w:autoSpaceDN w:val="0"/>
                    <w:adjustRightInd w:val="0"/>
                    <w:spacing w:after="0" w:line="240" w:lineRule="auto"/>
                    <w:jc w:val="both"/>
                    <w:rPr>
                      <w:rFonts w:ascii="Calibri" w:hAnsi="Calibri" w:cs="Calibri"/>
                      <w:bCs/>
                      <w:color w:val="000000"/>
                    </w:rPr>
                  </w:pPr>
                  <w:r w:rsidRPr="000441E1">
                    <w:rPr>
                      <w:rFonts w:ascii="Calibri" w:hAnsi="Calibri" w:cs="Calibri"/>
                      <w:bCs/>
                      <w:color w:val="000000"/>
                    </w:rPr>
                    <w:t>Los porcentajes de Depreciación y estimación de vida útil fueron realizados de acuerdo al documento de la CONAC Políticas de Depreciación y estimación de vida útil, los cuales fueron tomados de acuerdo al tipo de activo que les correspondiera.</w:t>
                  </w:r>
                </w:p>
                <w:p w:rsidR="00777EBA" w:rsidRDefault="00777EBA" w:rsidP="00AD1DCF">
                  <w:pPr>
                    <w:autoSpaceDE w:val="0"/>
                    <w:autoSpaceDN w:val="0"/>
                    <w:adjustRightInd w:val="0"/>
                    <w:spacing w:after="0" w:line="240" w:lineRule="auto"/>
                    <w:jc w:val="both"/>
                    <w:rPr>
                      <w:rFonts w:ascii="Calibri" w:hAnsi="Calibri" w:cs="Calibri"/>
                      <w:b/>
                      <w:bCs/>
                      <w:color w:val="000000"/>
                    </w:rPr>
                  </w:pPr>
                </w:p>
                <w:p w:rsidR="00561E15" w:rsidRDefault="00561E15" w:rsidP="00AD1DCF">
                  <w:pPr>
                    <w:autoSpaceDE w:val="0"/>
                    <w:autoSpaceDN w:val="0"/>
                    <w:adjustRightInd w:val="0"/>
                    <w:spacing w:after="0" w:line="240" w:lineRule="auto"/>
                    <w:jc w:val="both"/>
                    <w:rPr>
                      <w:rFonts w:ascii="Calibri" w:hAnsi="Calibri" w:cs="Calibri"/>
                      <w:b/>
                      <w:bCs/>
                      <w:color w:val="000000"/>
                    </w:rPr>
                  </w:pPr>
                </w:p>
                <w:p w:rsidR="00561E15" w:rsidRDefault="00561E15" w:rsidP="00AD1DCF">
                  <w:pPr>
                    <w:autoSpaceDE w:val="0"/>
                    <w:autoSpaceDN w:val="0"/>
                    <w:adjustRightInd w:val="0"/>
                    <w:spacing w:after="0" w:line="240" w:lineRule="auto"/>
                    <w:jc w:val="both"/>
                    <w:rPr>
                      <w:rFonts w:ascii="Calibri" w:hAnsi="Calibri" w:cs="Calibri"/>
                      <w:b/>
                      <w:bCs/>
                      <w:color w:val="000000"/>
                    </w:rPr>
                  </w:pPr>
                </w:p>
                <w:tbl>
                  <w:tblPr>
                    <w:tblW w:w="8000" w:type="dxa"/>
                    <w:tblLayout w:type="fixed"/>
                    <w:tblCellMar>
                      <w:left w:w="70" w:type="dxa"/>
                      <w:right w:w="70" w:type="dxa"/>
                    </w:tblCellMar>
                    <w:tblLook w:val="04A0" w:firstRow="1" w:lastRow="0" w:firstColumn="1" w:lastColumn="0" w:noHBand="0" w:noVBand="1"/>
                  </w:tblPr>
                  <w:tblGrid>
                    <w:gridCol w:w="4180"/>
                    <w:gridCol w:w="2000"/>
                    <w:gridCol w:w="1820"/>
                  </w:tblGrid>
                  <w:tr w:rsidR="00561E15" w:rsidRPr="00561E15" w:rsidTr="00561E15">
                    <w:trPr>
                      <w:trHeight w:val="300"/>
                    </w:trPr>
                    <w:tc>
                      <w:tcPr>
                        <w:tcW w:w="418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561E15" w:rsidRPr="00561E15" w:rsidRDefault="00561E15" w:rsidP="00561E15">
                        <w:pPr>
                          <w:spacing w:after="0" w:line="240" w:lineRule="auto"/>
                          <w:jc w:val="center"/>
                          <w:rPr>
                            <w:rFonts w:ascii="Calibri" w:eastAsia="Times New Roman" w:hAnsi="Calibri" w:cs="Calibri"/>
                            <w:b/>
                            <w:bCs/>
                            <w:color w:val="000000"/>
                            <w:lang w:eastAsia="es-MX"/>
                          </w:rPr>
                        </w:pPr>
                        <w:r w:rsidRPr="00561E15">
                          <w:rPr>
                            <w:rFonts w:ascii="Calibri" w:eastAsia="Times New Roman" w:hAnsi="Calibri" w:cs="Calibri"/>
                            <w:b/>
                            <w:bCs/>
                            <w:color w:val="000000"/>
                            <w:lang w:eastAsia="es-MX"/>
                          </w:rPr>
                          <w:t>PRINCIPALES VARIACIONES DEL ACTIVO</w:t>
                        </w:r>
                      </w:p>
                    </w:tc>
                    <w:tc>
                      <w:tcPr>
                        <w:tcW w:w="2000" w:type="dxa"/>
                        <w:tcBorders>
                          <w:top w:val="single" w:sz="4" w:space="0" w:color="auto"/>
                          <w:left w:val="nil"/>
                          <w:bottom w:val="single" w:sz="4" w:space="0" w:color="auto"/>
                          <w:right w:val="single" w:sz="4" w:space="0" w:color="auto"/>
                        </w:tcBorders>
                        <w:shd w:val="clear" w:color="000000" w:fill="D9D9D9"/>
                        <w:noWrap/>
                        <w:vAlign w:val="bottom"/>
                        <w:hideMark/>
                      </w:tcPr>
                      <w:p w:rsidR="00561E15" w:rsidRPr="00561E15" w:rsidRDefault="00561E15" w:rsidP="00561E15">
                        <w:pPr>
                          <w:spacing w:after="0" w:line="240" w:lineRule="auto"/>
                          <w:jc w:val="center"/>
                          <w:rPr>
                            <w:rFonts w:ascii="Calibri" w:eastAsia="Times New Roman" w:hAnsi="Calibri" w:cs="Calibri"/>
                            <w:b/>
                            <w:bCs/>
                            <w:color w:val="000000"/>
                            <w:lang w:eastAsia="es-MX"/>
                          </w:rPr>
                        </w:pPr>
                        <w:r w:rsidRPr="00561E15">
                          <w:rPr>
                            <w:rFonts w:ascii="Calibri" w:eastAsia="Times New Roman" w:hAnsi="Calibri" w:cs="Calibri"/>
                            <w:b/>
                            <w:bCs/>
                            <w:color w:val="000000"/>
                            <w:lang w:eastAsia="es-MX"/>
                          </w:rPr>
                          <w:t>2018</w:t>
                        </w:r>
                      </w:p>
                    </w:tc>
                    <w:tc>
                      <w:tcPr>
                        <w:tcW w:w="1820" w:type="dxa"/>
                        <w:tcBorders>
                          <w:top w:val="single" w:sz="4" w:space="0" w:color="auto"/>
                          <w:left w:val="nil"/>
                          <w:bottom w:val="single" w:sz="4" w:space="0" w:color="auto"/>
                          <w:right w:val="single" w:sz="4" w:space="0" w:color="auto"/>
                        </w:tcBorders>
                        <w:shd w:val="clear" w:color="000000" w:fill="D9D9D9"/>
                        <w:noWrap/>
                        <w:vAlign w:val="bottom"/>
                        <w:hideMark/>
                      </w:tcPr>
                      <w:p w:rsidR="00561E15" w:rsidRPr="00561E15" w:rsidRDefault="00561E15" w:rsidP="00561E15">
                        <w:pPr>
                          <w:spacing w:after="0" w:line="240" w:lineRule="auto"/>
                          <w:jc w:val="center"/>
                          <w:rPr>
                            <w:rFonts w:ascii="Calibri" w:eastAsia="Times New Roman" w:hAnsi="Calibri" w:cs="Calibri"/>
                            <w:b/>
                            <w:bCs/>
                            <w:color w:val="000000"/>
                            <w:lang w:eastAsia="es-MX"/>
                          </w:rPr>
                        </w:pPr>
                        <w:r w:rsidRPr="00561E15">
                          <w:rPr>
                            <w:rFonts w:ascii="Calibri" w:eastAsia="Times New Roman" w:hAnsi="Calibri" w:cs="Calibri"/>
                            <w:b/>
                            <w:bCs/>
                            <w:color w:val="000000"/>
                            <w:lang w:eastAsia="es-MX"/>
                          </w:rPr>
                          <w:t>2017</w:t>
                        </w:r>
                      </w:p>
                    </w:tc>
                  </w:tr>
                  <w:tr w:rsidR="00561E15" w:rsidRPr="00561E15" w:rsidTr="00561E15">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Inversiones en valores</w:t>
                        </w:r>
                      </w:p>
                    </w:tc>
                    <w:tc>
                      <w:tcPr>
                        <w:tcW w:w="2000" w:type="dxa"/>
                        <w:tcBorders>
                          <w:top w:val="nil"/>
                          <w:left w:val="nil"/>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 </w:t>
                        </w:r>
                      </w:p>
                    </w:tc>
                    <w:tc>
                      <w:tcPr>
                        <w:tcW w:w="1820" w:type="dxa"/>
                        <w:tcBorders>
                          <w:top w:val="nil"/>
                          <w:left w:val="nil"/>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 </w:t>
                        </w:r>
                      </w:p>
                    </w:tc>
                  </w:tr>
                  <w:tr w:rsidR="00561E15" w:rsidRPr="00561E15" w:rsidTr="00561E15">
                    <w:trPr>
                      <w:trHeight w:val="630"/>
                    </w:trPr>
                    <w:tc>
                      <w:tcPr>
                        <w:tcW w:w="4180" w:type="dxa"/>
                        <w:tcBorders>
                          <w:top w:val="nil"/>
                          <w:left w:val="single" w:sz="4" w:space="0" w:color="auto"/>
                          <w:bottom w:val="single" w:sz="4" w:space="0" w:color="auto"/>
                          <w:right w:val="single" w:sz="4" w:space="0" w:color="auto"/>
                        </w:tcBorders>
                        <w:shd w:val="clear" w:color="auto" w:fill="auto"/>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Banco Banorte S.A. Cta. 0501325828 Inversión excedentes Subsidio Estatal Nómina.</w:t>
                        </w:r>
                      </w:p>
                    </w:tc>
                    <w:tc>
                      <w:tcPr>
                        <w:tcW w:w="2000" w:type="dxa"/>
                        <w:tcBorders>
                          <w:top w:val="nil"/>
                          <w:left w:val="nil"/>
                          <w:bottom w:val="single" w:sz="4" w:space="0" w:color="auto"/>
                          <w:right w:val="single" w:sz="4" w:space="0" w:color="auto"/>
                        </w:tcBorders>
                        <w:shd w:val="clear" w:color="auto" w:fill="auto"/>
                        <w:noWrap/>
                        <w:vAlign w:val="bottom"/>
                        <w:hideMark/>
                      </w:tcPr>
                      <w:p w:rsidR="00561E15" w:rsidRPr="00561E15" w:rsidRDefault="000441E1" w:rsidP="00561E15">
                        <w:pPr>
                          <w:spacing w:after="0" w:line="240" w:lineRule="auto"/>
                          <w:rPr>
                            <w:rFonts w:ascii="Calibri" w:eastAsia="Times New Roman" w:hAnsi="Calibri" w:cs="Calibri"/>
                            <w:color w:val="000000"/>
                            <w:lang w:eastAsia="es-MX"/>
                          </w:rPr>
                        </w:pPr>
                        <w:r>
                          <w:rPr>
                            <w:rFonts w:ascii="Calibri" w:eastAsia="Times New Roman" w:hAnsi="Calibri" w:cs="Calibri"/>
                            <w:color w:val="000000"/>
                            <w:lang w:eastAsia="es-MX"/>
                          </w:rPr>
                          <w:t xml:space="preserve">                                 0</w:t>
                        </w:r>
                      </w:p>
                    </w:tc>
                    <w:tc>
                      <w:tcPr>
                        <w:tcW w:w="1820" w:type="dxa"/>
                        <w:tcBorders>
                          <w:top w:val="nil"/>
                          <w:left w:val="nil"/>
                          <w:bottom w:val="single" w:sz="4" w:space="0" w:color="auto"/>
                          <w:right w:val="single" w:sz="4" w:space="0" w:color="auto"/>
                        </w:tcBorders>
                        <w:shd w:val="clear" w:color="000000" w:fill="FFFFFF"/>
                        <w:noWrap/>
                        <w:vAlign w:val="bottom"/>
                        <w:hideMark/>
                      </w:tcPr>
                      <w:p w:rsidR="00561E15" w:rsidRPr="00561E15" w:rsidRDefault="00561E15" w:rsidP="000441E1">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 xml:space="preserve">        </w:t>
                        </w:r>
                        <w:r w:rsidR="000441E1">
                          <w:rPr>
                            <w:rFonts w:ascii="Calibri" w:eastAsia="Times New Roman" w:hAnsi="Calibri" w:cs="Calibri"/>
                            <w:color w:val="000000"/>
                            <w:lang w:eastAsia="es-MX"/>
                          </w:rPr>
                          <w:t xml:space="preserve">    </w:t>
                        </w:r>
                        <w:r w:rsidR="006F057B">
                          <w:rPr>
                            <w:rFonts w:ascii="Calibri" w:eastAsia="Times New Roman" w:hAnsi="Calibri" w:cs="Calibri"/>
                            <w:color w:val="000000"/>
                            <w:lang w:eastAsia="es-MX"/>
                          </w:rPr>
                          <w:t xml:space="preserve">   </w:t>
                        </w:r>
                        <w:r w:rsidRPr="00561E15">
                          <w:rPr>
                            <w:rFonts w:ascii="Calibri" w:eastAsia="Times New Roman" w:hAnsi="Calibri" w:cs="Calibri"/>
                            <w:color w:val="000000"/>
                            <w:lang w:eastAsia="es-MX"/>
                          </w:rPr>
                          <w:t xml:space="preserve">1,401,379.42 </w:t>
                        </w:r>
                      </w:p>
                    </w:tc>
                  </w:tr>
                  <w:tr w:rsidR="00561E15" w:rsidRPr="00561E15" w:rsidTr="00561E15">
                    <w:trPr>
                      <w:trHeight w:val="600"/>
                    </w:trPr>
                    <w:tc>
                      <w:tcPr>
                        <w:tcW w:w="4180" w:type="dxa"/>
                        <w:tcBorders>
                          <w:top w:val="nil"/>
                          <w:left w:val="single" w:sz="4" w:space="0" w:color="auto"/>
                          <w:bottom w:val="single" w:sz="4" w:space="0" w:color="auto"/>
                          <w:right w:val="single" w:sz="4" w:space="0" w:color="auto"/>
                        </w:tcBorders>
                        <w:shd w:val="clear" w:color="auto" w:fill="auto"/>
                        <w:vAlign w:val="bottom"/>
                        <w:hideMark/>
                      </w:tcPr>
                      <w:p w:rsidR="00561E15" w:rsidRPr="00561E15" w:rsidRDefault="00561E15" w:rsidP="00561E15">
                        <w:pPr>
                          <w:spacing w:after="0" w:line="240" w:lineRule="auto"/>
                          <w:rPr>
                            <w:rFonts w:ascii="Calibri" w:eastAsia="Times New Roman" w:hAnsi="Calibri" w:cs="Calibri"/>
                            <w:color w:val="000000"/>
                            <w:lang w:eastAsia="es-MX"/>
                          </w:rPr>
                        </w:pPr>
                        <w:r w:rsidRPr="00561E15">
                          <w:rPr>
                            <w:rFonts w:ascii="Calibri" w:eastAsia="Times New Roman" w:hAnsi="Calibri" w:cs="Calibri"/>
                            <w:color w:val="000000"/>
                            <w:lang w:eastAsia="es-MX"/>
                          </w:rPr>
                          <w:t>Banco Banorte S.A. Cta. 0501325792 Inversión excedentes gastos</w:t>
                        </w:r>
                        <w:r w:rsidR="000441E1">
                          <w:rPr>
                            <w:rFonts w:ascii="Calibri" w:eastAsia="Times New Roman" w:hAnsi="Calibri" w:cs="Calibri"/>
                            <w:color w:val="000000"/>
                            <w:lang w:eastAsia="es-MX"/>
                          </w:rPr>
                          <w:t xml:space="preserve"> en</w:t>
                        </w:r>
                        <w:r w:rsidRPr="00561E15">
                          <w:rPr>
                            <w:rFonts w:ascii="Calibri" w:eastAsia="Times New Roman" w:hAnsi="Calibri" w:cs="Calibri"/>
                            <w:color w:val="000000"/>
                            <w:lang w:eastAsia="es-MX"/>
                          </w:rPr>
                          <w:t xml:space="preserve"> </w:t>
                        </w:r>
                        <w:proofErr w:type="spellStart"/>
                        <w:r w:rsidRPr="00561E15">
                          <w:rPr>
                            <w:rFonts w:ascii="Calibri" w:eastAsia="Times New Roman" w:hAnsi="Calibri" w:cs="Calibri"/>
                            <w:color w:val="000000"/>
                            <w:lang w:eastAsia="es-MX"/>
                          </w:rPr>
                          <w:t>gral.</w:t>
                        </w:r>
                        <w:proofErr w:type="spellEnd"/>
                      </w:p>
                    </w:tc>
                    <w:tc>
                      <w:tcPr>
                        <w:tcW w:w="2000" w:type="dxa"/>
                        <w:tcBorders>
                          <w:top w:val="nil"/>
                          <w:left w:val="nil"/>
                          <w:bottom w:val="single" w:sz="4" w:space="0" w:color="auto"/>
                          <w:right w:val="single" w:sz="4" w:space="0" w:color="auto"/>
                        </w:tcBorders>
                        <w:shd w:val="clear" w:color="auto" w:fill="auto"/>
                        <w:noWrap/>
                        <w:vAlign w:val="bottom"/>
                        <w:hideMark/>
                      </w:tcPr>
                      <w:p w:rsidR="00561E15" w:rsidRPr="00561E15" w:rsidRDefault="00561E15" w:rsidP="00561E15">
                        <w:pPr>
                          <w:spacing w:after="0" w:line="240" w:lineRule="auto"/>
                          <w:jc w:val="right"/>
                          <w:rPr>
                            <w:rFonts w:ascii="Calibri" w:eastAsia="Times New Roman" w:hAnsi="Calibri" w:cs="Calibri"/>
                            <w:color w:val="000000"/>
                            <w:lang w:eastAsia="es-MX"/>
                          </w:rPr>
                        </w:pPr>
                        <w:r w:rsidRPr="00561E15">
                          <w:rPr>
                            <w:rFonts w:ascii="Calibri" w:eastAsia="Times New Roman" w:hAnsi="Calibri" w:cs="Calibri"/>
                            <w:color w:val="000000"/>
                            <w:lang w:eastAsia="es-MX"/>
                          </w:rPr>
                          <w:t>12,895,282.73</w:t>
                        </w:r>
                      </w:p>
                    </w:tc>
                    <w:tc>
                      <w:tcPr>
                        <w:tcW w:w="1820" w:type="dxa"/>
                        <w:tcBorders>
                          <w:top w:val="nil"/>
                          <w:left w:val="nil"/>
                          <w:bottom w:val="single" w:sz="4" w:space="0" w:color="auto"/>
                          <w:right w:val="single" w:sz="4" w:space="0" w:color="auto"/>
                        </w:tcBorders>
                        <w:shd w:val="clear" w:color="000000" w:fill="FFFFFF"/>
                        <w:noWrap/>
                        <w:vAlign w:val="bottom"/>
                        <w:hideMark/>
                      </w:tcPr>
                      <w:p w:rsidR="00561E15" w:rsidRPr="00561E15" w:rsidRDefault="00561E15" w:rsidP="00561E15">
                        <w:pPr>
                          <w:spacing w:after="0" w:line="240" w:lineRule="auto"/>
                          <w:jc w:val="right"/>
                          <w:rPr>
                            <w:rFonts w:ascii="Calibri" w:eastAsia="Times New Roman" w:hAnsi="Calibri" w:cs="Calibri"/>
                            <w:color w:val="000000"/>
                            <w:lang w:eastAsia="es-MX"/>
                          </w:rPr>
                        </w:pPr>
                        <w:r w:rsidRPr="00561E15">
                          <w:rPr>
                            <w:rFonts w:ascii="Calibri" w:eastAsia="Times New Roman" w:hAnsi="Calibri" w:cs="Calibri"/>
                            <w:color w:val="000000"/>
                            <w:lang w:eastAsia="es-MX"/>
                          </w:rPr>
                          <w:t>34,048,053.85</w:t>
                        </w:r>
                      </w:p>
                    </w:tc>
                  </w:tr>
                </w:tbl>
                <w:p w:rsidR="00561E15" w:rsidRPr="007E3523" w:rsidRDefault="00561E15" w:rsidP="00AD1DCF">
                  <w:pPr>
                    <w:autoSpaceDE w:val="0"/>
                    <w:autoSpaceDN w:val="0"/>
                    <w:adjustRightInd w:val="0"/>
                    <w:spacing w:after="0" w:line="240" w:lineRule="auto"/>
                    <w:jc w:val="both"/>
                    <w:rPr>
                      <w:rFonts w:ascii="Calibri" w:hAnsi="Calibri" w:cs="Calibri"/>
                      <w:b/>
                      <w:bCs/>
                      <w:color w:val="000000"/>
                    </w:rPr>
                  </w:pPr>
                </w:p>
                <w:p w:rsidR="002E7325" w:rsidRPr="000441E1" w:rsidRDefault="000441E1" w:rsidP="00AD1DCF">
                  <w:pPr>
                    <w:autoSpaceDE w:val="0"/>
                    <w:autoSpaceDN w:val="0"/>
                    <w:adjustRightInd w:val="0"/>
                    <w:spacing w:after="0" w:line="240" w:lineRule="auto"/>
                    <w:jc w:val="both"/>
                    <w:rPr>
                      <w:rFonts w:ascii="Calibri" w:hAnsi="Calibri" w:cs="Calibri"/>
                      <w:bCs/>
                      <w:color w:val="000000"/>
                    </w:rPr>
                  </w:pPr>
                  <w:r w:rsidRPr="000441E1">
                    <w:rPr>
                      <w:rFonts w:ascii="Calibri" w:hAnsi="Calibri" w:cs="Calibri"/>
                      <w:bCs/>
                      <w:color w:val="000000"/>
                    </w:rPr>
                    <w:t>Las variaciones en las cuentas de inversión se derivaron de la aplicación de los recursos para la ejecución de proyectos estratégicos y gastos derivados a ellos.</w:t>
                  </w:r>
                </w:p>
                <w:p w:rsidR="000441E1" w:rsidRPr="007E3523" w:rsidRDefault="000441E1" w:rsidP="00AD1DCF">
                  <w:pPr>
                    <w:autoSpaceDE w:val="0"/>
                    <w:autoSpaceDN w:val="0"/>
                    <w:adjustRightInd w:val="0"/>
                    <w:spacing w:after="0" w:line="240" w:lineRule="auto"/>
                    <w:jc w:val="both"/>
                    <w:rPr>
                      <w:rFonts w:ascii="Calibri" w:hAnsi="Calibri" w:cs="Calibri"/>
                      <w:b/>
                      <w:bCs/>
                      <w:color w:val="000000"/>
                    </w:rPr>
                  </w:pPr>
                </w:p>
                <w:p w:rsidR="002E7325" w:rsidRPr="007E3523" w:rsidRDefault="002E7325" w:rsidP="00AD1DCF">
                  <w:pPr>
                    <w:autoSpaceDE w:val="0"/>
                    <w:autoSpaceDN w:val="0"/>
                    <w:adjustRightInd w:val="0"/>
                    <w:spacing w:after="0" w:line="240" w:lineRule="auto"/>
                    <w:jc w:val="both"/>
                    <w:rPr>
                      <w:rFonts w:ascii="Calibri" w:hAnsi="Calibri" w:cs="Calibri"/>
                      <w:b/>
                      <w:bCs/>
                      <w:color w:val="000000"/>
                    </w:rPr>
                  </w:pPr>
                </w:p>
              </w:tc>
            </w:tr>
            <w:tr w:rsidR="002E7325" w:rsidRPr="007E3523" w:rsidTr="00777EBA">
              <w:trPr>
                <w:trHeight w:val="290"/>
              </w:trPr>
              <w:tc>
                <w:tcPr>
                  <w:tcW w:w="8507" w:type="dxa"/>
                  <w:tcBorders>
                    <w:top w:val="nil"/>
                    <w:left w:val="nil"/>
                    <w:bottom w:val="nil"/>
                    <w:right w:val="nil"/>
                  </w:tcBorders>
                </w:tcPr>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7A616A" w:rsidRDefault="007A616A" w:rsidP="002E7325">
                  <w:pPr>
                    <w:autoSpaceDE w:val="0"/>
                    <w:autoSpaceDN w:val="0"/>
                    <w:adjustRightInd w:val="0"/>
                    <w:spacing w:after="0" w:line="240" w:lineRule="auto"/>
                    <w:rPr>
                      <w:rFonts w:ascii="Calibri" w:hAnsi="Calibri" w:cs="Calibri"/>
                      <w:b/>
                      <w:bCs/>
                      <w:color w:val="000000"/>
                    </w:rPr>
                  </w:pPr>
                </w:p>
                <w:p w:rsidR="002E7325" w:rsidRPr="007E3523" w:rsidRDefault="002E7325" w:rsidP="002E7325">
                  <w:pPr>
                    <w:autoSpaceDE w:val="0"/>
                    <w:autoSpaceDN w:val="0"/>
                    <w:adjustRightInd w:val="0"/>
                    <w:spacing w:after="0" w:line="240" w:lineRule="auto"/>
                    <w:rPr>
                      <w:rFonts w:ascii="Calibri" w:hAnsi="Calibri" w:cs="Calibri"/>
                      <w:b/>
                      <w:bCs/>
                      <w:color w:val="000000"/>
                    </w:rPr>
                  </w:pPr>
                  <w:r w:rsidRPr="007E3523">
                    <w:rPr>
                      <w:rFonts w:ascii="Calibri" w:hAnsi="Calibri" w:cs="Calibri"/>
                      <w:b/>
                      <w:bCs/>
                      <w:color w:val="000000"/>
                    </w:rPr>
                    <w:lastRenderedPageBreak/>
                    <w:t>9.- Fideicomisos, mandatos y análogos</w:t>
                  </w: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2E7325" w:rsidRPr="007E3523" w:rsidTr="00777EBA">
              <w:trPr>
                <w:trHeight w:val="290"/>
              </w:trPr>
              <w:tc>
                <w:tcPr>
                  <w:tcW w:w="8507" w:type="dxa"/>
                  <w:tcBorders>
                    <w:top w:val="nil"/>
                    <w:left w:val="nil"/>
                    <w:bottom w:val="nil"/>
                    <w:right w:val="nil"/>
                  </w:tcBorders>
                </w:tcPr>
                <w:p w:rsidR="007E3523" w:rsidRPr="007E3523" w:rsidRDefault="002E7325" w:rsidP="007A616A">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El Hogar Cabañas no cuenta con Fideicomisos, mandatos o algún contrato legal que implique relevancia a estas notas.</w:t>
                  </w: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2E7325" w:rsidRPr="007E3523" w:rsidTr="00777EBA">
              <w:trPr>
                <w:trHeight w:val="290"/>
              </w:trPr>
              <w:tc>
                <w:tcPr>
                  <w:tcW w:w="8507" w:type="dxa"/>
                  <w:tcBorders>
                    <w:top w:val="nil"/>
                    <w:left w:val="nil"/>
                    <w:bottom w:val="nil"/>
                    <w:right w:val="nil"/>
                  </w:tcBorders>
                </w:tcPr>
                <w:p w:rsidR="002E7325" w:rsidRPr="007E3523" w:rsidRDefault="002E7325" w:rsidP="002E7325">
                  <w:pPr>
                    <w:autoSpaceDE w:val="0"/>
                    <w:autoSpaceDN w:val="0"/>
                    <w:adjustRightInd w:val="0"/>
                    <w:spacing w:after="0" w:line="240" w:lineRule="auto"/>
                    <w:jc w:val="right"/>
                    <w:rPr>
                      <w:rFonts w:ascii="Calibri" w:hAnsi="Calibri" w:cs="Calibri"/>
                      <w:b/>
                      <w:bCs/>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2E7325" w:rsidRPr="007E3523" w:rsidTr="00777EBA">
              <w:trPr>
                <w:trHeight w:val="290"/>
              </w:trPr>
              <w:tc>
                <w:tcPr>
                  <w:tcW w:w="8507" w:type="dxa"/>
                  <w:tcBorders>
                    <w:top w:val="nil"/>
                    <w:left w:val="nil"/>
                    <w:bottom w:val="nil"/>
                    <w:right w:val="nil"/>
                  </w:tcBorders>
                </w:tcPr>
                <w:p w:rsidR="002E7325" w:rsidRPr="007E3523" w:rsidRDefault="002E7325" w:rsidP="002E7325">
                  <w:pPr>
                    <w:autoSpaceDE w:val="0"/>
                    <w:autoSpaceDN w:val="0"/>
                    <w:adjustRightInd w:val="0"/>
                    <w:spacing w:after="0" w:line="240" w:lineRule="auto"/>
                    <w:rPr>
                      <w:rFonts w:ascii="Calibri" w:hAnsi="Calibri" w:cs="Calibri"/>
                      <w:b/>
                      <w:bCs/>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c>
                <w:tcPr>
                  <w:tcW w:w="2949" w:type="dxa"/>
                </w:tcPr>
                <w:p w:rsidR="002E7325" w:rsidRPr="007E3523" w:rsidRDefault="002E7325" w:rsidP="002E7325">
                  <w:pPr>
                    <w:autoSpaceDE w:val="0"/>
                    <w:autoSpaceDN w:val="0"/>
                    <w:adjustRightInd w:val="0"/>
                    <w:spacing w:after="0" w:line="240" w:lineRule="auto"/>
                    <w:jc w:val="right"/>
                    <w:rPr>
                      <w:rFonts w:ascii="Calibri" w:hAnsi="Calibri" w:cs="Calibri"/>
                      <w:color w:val="000000"/>
                    </w:rPr>
                  </w:pPr>
                </w:p>
              </w:tc>
            </w:tr>
            <w:tr w:rsidR="007E3523" w:rsidRPr="007E3523" w:rsidTr="00777EBA">
              <w:trPr>
                <w:trHeight w:val="290"/>
              </w:trPr>
              <w:tc>
                <w:tcPr>
                  <w:tcW w:w="8507" w:type="dxa"/>
                  <w:tcBorders>
                    <w:top w:val="nil"/>
                    <w:left w:val="nil"/>
                    <w:bottom w:val="nil"/>
                    <w:right w:val="nil"/>
                  </w:tcBorders>
                </w:tcPr>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343639" w:rsidRDefault="00343639" w:rsidP="007E3523">
                  <w:pPr>
                    <w:autoSpaceDE w:val="0"/>
                    <w:autoSpaceDN w:val="0"/>
                    <w:adjustRightInd w:val="0"/>
                    <w:spacing w:after="0" w:line="240" w:lineRule="auto"/>
                    <w:rPr>
                      <w:rFonts w:ascii="Calibri" w:hAnsi="Calibri" w:cs="Calibri"/>
                      <w:b/>
                      <w:bCs/>
                      <w:color w:val="000000"/>
                    </w:rPr>
                  </w:pPr>
                </w:p>
                <w:p w:rsidR="007E3523" w:rsidRDefault="007E3523" w:rsidP="007E3523">
                  <w:pPr>
                    <w:autoSpaceDE w:val="0"/>
                    <w:autoSpaceDN w:val="0"/>
                    <w:adjustRightInd w:val="0"/>
                    <w:spacing w:after="0" w:line="240" w:lineRule="auto"/>
                    <w:rPr>
                      <w:rFonts w:ascii="Calibri" w:hAnsi="Calibri" w:cs="Calibri"/>
                      <w:b/>
                      <w:bCs/>
                      <w:color w:val="000000"/>
                    </w:rPr>
                  </w:pPr>
                  <w:r w:rsidRPr="007E3523">
                    <w:rPr>
                      <w:rFonts w:ascii="Calibri" w:hAnsi="Calibri" w:cs="Calibri"/>
                      <w:b/>
                      <w:bCs/>
                      <w:color w:val="000000"/>
                    </w:rPr>
                    <w:t>10.-Reporte de la recaudación</w:t>
                  </w:r>
                  <w:r w:rsidR="00343639">
                    <w:rPr>
                      <w:rFonts w:ascii="Calibri" w:hAnsi="Calibri" w:cs="Calibri"/>
                      <w:b/>
                      <w:bCs/>
                      <w:color w:val="000000"/>
                    </w:rPr>
                    <w:t>.</w:t>
                  </w:r>
                </w:p>
                <w:p w:rsidR="00343639" w:rsidRPr="007E3523" w:rsidRDefault="00343639" w:rsidP="007E3523">
                  <w:pPr>
                    <w:autoSpaceDE w:val="0"/>
                    <w:autoSpaceDN w:val="0"/>
                    <w:adjustRightInd w:val="0"/>
                    <w:spacing w:after="0" w:line="240" w:lineRule="auto"/>
                    <w:rPr>
                      <w:rFonts w:ascii="Calibri" w:hAnsi="Calibri" w:cs="Calibri"/>
                      <w:b/>
                      <w:bCs/>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r>
            <w:tr w:rsidR="007E3523" w:rsidRPr="007E3523" w:rsidTr="00777EBA">
              <w:trPr>
                <w:trHeight w:val="290"/>
              </w:trPr>
              <w:tc>
                <w:tcPr>
                  <w:tcW w:w="8507" w:type="dxa"/>
                  <w:tcBorders>
                    <w:top w:val="nil"/>
                    <w:left w:val="nil"/>
                    <w:bottom w:val="nil"/>
                    <w:right w:val="nil"/>
                  </w:tcBorders>
                </w:tcPr>
                <w:p w:rsidR="00777EBA"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El Hogar Cabañas le fue autorizado como Subsidio Estatal para el ejercicio 2018, la cantidad de $48</w:t>
                  </w:r>
                  <w:r w:rsidR="00777EBA">
                    <w:rPr>
                      <w:rFonts w:ascii="Calibri" w:hAnsi="Calibri" w:cs="Calibri"/>
                      <w:color w:val="000000"/>
                    </w:rPr>
                    <w:t>’</w:t>
                  </w:r>
                  <w:r w:rsidRPr="007E3523">
                    <w:rPr>
                      <w:rFonts w:ascii="Calibri" w:hAnsi="Calibri" w:cs="Calibri"/>
                      <w:color w:val="000000"/>
                    </w:rPr>
                    <w:t>473,207.00 (Cuarenta y ocho millones cuatrocientos setenta y tres mil doscientos siete</w:t>
                  </w:r>
                </w:p>
                <w:p w:rsidR="007E3523" w:rsidRPr="007E3523"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 xml:space="preserve"> 00/100 M.N.), de los cuales fueron radicados en su totalidad por parte del Gobierno del Estado.</w:t>
                  </w:r>
                </w:p>
                <w:p w:rsidR="007E3523" w:rsidRPr="007E3523" w:rsidRDefault="007E3523" w:rsidP="007E3523">
                  <w:pPr>
                    <w:autoSpaceDE w:val="0"/>
                    <w:autoSpaceDN w:val="0"/>
                    <w:adjustRightInd w:val="0"/>
                    <w:spacing w:after="0" w:line="240" w:lineRule="auto"/>
                    <w:jc w:val="both"/>
                    <w:rPr>
                      <w:rFonts w:ascii="Calibri" w:hAnsi="Calibri" w:cs="Calibri"/>
                      <w:color w:val="000000"/>
                    </w:rPr>
                  </w:pPr>
                </w:p>
                <w:p w:rsidR="007E3523" w:rsidRPr="007E3523"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De los recursos  por las aportaciones adicionales en el pago de refrendos vehiculares de la ciudadanía fueron recau</w:t>
                  </w:r>
                  <w:r w:rsidR="009D3F7D">
                    <w:rPr>
                      <w:rFonts w:ascii="Calibri" w:hAnsi="Calibri" w:cs="Calibri"/>
                      <w:color w:val="000000"/>
                    </w:rPr>
                    <w:t>dados la cantidad de $ 45’563,33</w:t>
                  </w:r>
                  <w:r w:rsidRPr="007E3523">
                    <w:rPr>
                      <w:rFonts w:ascii="Calibri" w:hAnsi="Calibri" w:cs="Calibri"/>
                      <w:color w:val="000000"/>
                    </w:rPr>
                    <w:t xml:space="preserve">5.50 (Cuarenta y cinco millones quinientos sesenta y tres mil trescientos </w:t>
                  </w:r>
                  <w:r w:rsidR="009D3F7D">
                    <w:rPr>
                      <w:rFonts w:ascii="Calibri" w:hAnsi="Calibri" w:cs="Calibri"/>
                      <w:color w:val="000000"/>
                    </w:rPr>
                    <w:t>treinta</w:t>
                  </w:r>
                  <w:r w:rsidRPr="007E3523">
                    <w:rPr>
                      <w:rFonts w:ascii="Calibri" w:hAnsi="Calibri" w:cs="Calibri"/>
                      <w:color w:val="000000"/>
                    </w:rPr>
                    <w:t xml:space="preserve"> y cinco pesos 50/100 M.N.) de los cuales  se nos adeudan $ 290,160.00 (Doscientos noventa mil ciento sesenta pesos 00/100 M.N.) </w:t>
                  </w:r>
                </w:p>
                <w:p w:rsidR="006F057B" w:rsidRDefault="006F057B" w:rsidP="006F057B">
                  <w:pPr>
                    <w:autoSpaceDE w:val="0"/>
                    <w:autoSpaceDN w:val="0"/>
                    <w:adjustRightInd w:val="0"/>
                    <w:spacing w:after="0" w:line="240" w:lineRule="auto"/>
                    <w:jc w:val="both"/>
                    <w:rPr>
                      <w:rFonts w:ascii="Calibri" w:hAnsi="Calibri" w:cs="Calibri"/>
                      <w:color w:val="000000"/>
                    </w:rPr>
                  </w:pPr>
                </w:p>
                <w:p w:rsidR="006F057B" w:rsidRDefault="006F057B" w:rsidP="006F057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 el mes de Enero de 2018, se recibió la cantidad de $ 527,940.00 (Quinientos veintisiete mil novecientos cuarenta pesos 00/100 M.N) por concepto de refrendos vehiculares del mes de Diciembre de 2017.</w:t>
                  </w:r>
                </w:p>
                <w:p w:rsidR="00E7641A" w:rsidRDefault="00E7641A" w:rsidP="007E3523">
                  <w:pPr>
                    <w:autoSpaceDE w:val="0"/>
                    <w:autoSpaceDN w:val="0"/>
                    <w:adjustRightInd w:val="0"/>
                    <w:spacing w:after="0" w:line="240" w:lineRule="auto"/>
                    <w:jc w:val="both"/>
                    <w:rPr>
                      <w:rFonts w:ascii="Calibri" w:hAnsi="Calibri" w:cs="Calibri"/>
                      <w:color w:val="000000"/>
                    </w:rPr>
                  </w:pPr>
                </w:p>
                <w:p w:rsidR="007E3523" w:rsidRDefault="00E7641A"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Por lo que en total de Recursos adicionales en el pago de refrendos vehiculares se ob</w:t>
                  </w:r>
                  <w:r w:rsidR="006B2DCC">
                    <w:rPr>
                      <w:rFonts w:ascii="Calibri" w:hAnsi="Calibri" w:cs="Calibri"/>
                      <w:color w:val="000000"/>
                    </w:rPr>
                    <w:t>tuvo la cantidad de $ 46’091,275</w:t>
                  </w:r>
                  <w:r>
                    <w:rPr>
                      <w:rFonts w:ascii="Calibri" w:hAnsi="Calibri" w:cs="Calibri"/>
                      <w:color w:val="000000"/>
                    </w:rPr>
                    <w:t xml:space="preserve">.50 (Cuarenta y seis millones noventa y un mil </w:t>
                  </w:r>
                  <w:r w:rsidR="006B2DCC">
                    <w:rPr>
                      <w:rFonts w:ascii="Calibri" w:hAnsi="Calibri" w:cs="Calibri"/>
                      <w:color w:val="000000"/>
                    </w:rPr>
                    <w:t>doscientos setenta y cinco</w:t>
                  </w:r>
                  <w:r>
                    <w:rPr>
                      <w:rFonts w:ascii="Calibri" w:hAnsi="Calibri" w:cs="Calibri"/>
                      <w:color w:val="000000"/>
                    </w:rPr>
                    <w:t xml:space="preserve"> pesos 50/100 M.N.). </w:t>
                  </w:r>
                </w:p>
                <w:p w:rsidR="00E7641A" w:rsidRPr="007E3523" w:rsidRDefault="00E7641A" w:rsidP="007E3523">
                  <w:pPr>
                    <w:autoSpaceDE w:val="0"/>
                    <w:autoSpaceDN w:val="0"/>
                    <w:adjustRightInd w:val="0"/>
                    <w:spacing w:after="0" w:line="240" w:lineRule="auto"/>
                    <w:jc w:val="both"/>
                    <w:rPr>
                      <w:rFonts w:ascii="Calibri" w:hAnsi="Calibri" w:cs="Calibri"/>
                      <w:color w:val="000000"/>
                    </w:rPr>
                  </w:pPr>
                </w:p>
                <w:p w:rsidR="00343639"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 xml:space="preserve">Respecto a los Ingresos propios recaudados ascendieron  </w:t>
                  </w:r>
                  <w:r w:rsidR="00E7641A">
                    <w:rPr>
                      <w:rFonts w:ascii="Calibri" w:hAnsi="Calibri" w:cs="Calibri"/>
                      <w:color w:val="000000"/>
                    </w:rPr>
                    <w:t xml:space="preserve">por </w:t>
                  </w:r>
                  <w:r w:rsidRPr="007E3523">
                    <w:rPr>
                      <w:rFonts w:ascii="Calibri" w:hAnsi="Calibri" w:cs="Calibri"/>
                      <w:color w:val="000000"/>
                    </w:rPr>
                    <w:t xml:space="preserve">  concepto de venta de bienes</w:t>
                  </w:r>
                  <w:r w:rsidR="00E7641A">
                    <w:rPr>
                      <w:rFonts w:ascii="Calibri" w:hAnsi="Calibri" w:cs="Calibri"/>
                      <w:color w:val="000000"/>
                    </w:rPr>
                    <w:t xml:space="preserve"> y prestación de servicios $ 262,110.82,</w:t>
                  </w:r>
                  <w:r w:rsidRPr="007E3523">
                    <w:rPr>
                      <w:rFonts w:ascii="Calibri" w:hAnsi="Calibri" w:cs="Calibri"/>
                      <w:color w:val="000000"/>
                    </w:rPr>
                    <w:t xml:space="preserve"> donativos en efectivo</w:t>
                  </w:r>
                  <w:r w:rsidR="00343639">
                    <w:rPr>
                      <w:rFonts w:ascii="Calibri" w:hAnsi="Calibri" w:cs="Calibri"/>
                      <w:color w:val="000000"/>
                    </w:rPr>
                    <w:t xml:space="preserve"> </w:t>
                  </w:r>
                  <w:r w:rsidR="00A94EFF">
                    <w:rPr>
                      <w:rFonts w:ascii="Calibri" w:hAnsi="Calibri" w:cs="Calibri"/>
                      <w:color w:val="000000"/>
                    </w:rPr>
                    <w:t xml:space="preserve">  $ 1’253,031.07, donativos en especie $ 3’551,264.79 y productos financieros la cantidad de $ 2’057,006.87</w:t>
                  </w:r>
                  <w:r w:rsidRPr="007E3523">
                    <w:rPr>
                      <w:rFonts w:ascii="Calibri" w:hAnsi="Calibri" w:cs="Calibri"/>
                      <w:color w:val="000000"/>
                    </w:rPr>
                    <w:t xml:space="preserve"> </w:t>
                  </w:r>
                </w:p>
                <w:p w:rsidR="00343639" w:rsidRDefault="00343639" w:rsidP="007E3523">
                  <w:pPr>
                    <w:autoSpaceDE w:val="0"/>
                    <w:autoSpaceDN w:val="0"/>
                    <w:adjustRightInd w:val="0"/>
                    <w:spacing w:after="0" w:line="240" w:lineRule="auto"/>
                    <w:jc w:val="both"/>
                    <w:rPr>
                      <w:rFonts w:ascii="Calibri" w:hAnsi="Calibri" w:cs="Calibri"/>
                      <w:color w:val="000000"/>
                    </w:rPr>
                  </w:pPr>
                </w:p>
                <w:p w:rsidR="007E3523" w:rsidRDefault="007E3523" w:rsidP="007E3523">
                  <w:pPr>
                    <w:autoSpaceDE w:val="0"/>
                    <w:autoSpaceDN w:val="0"/>
                    <w:adjustRightInd w:val="0"/>
                    <w:spacing w:after="0" w:line="240" w:lineRule="auto"/>
                    <w:jc w:val="both"/>
                    <w:rPr>
                      <w:rFonts w:ascii="Calibri" w:hAnsi="Calibri" w:cs="Calibri"/>
                      <w:color w:val="000000"/>
                    </w:rPr>
                  </w:pPr>
                  <w:r w:rsidRPr="007E3523">
                    <w:rPr>
                      <w:rFonts w:ascii="Calibri" w:hAnsi="Calibri" w:cs="Calibri"/>
                      <w:color w:val="000000"/>
                    </w:rPr>
                    <w:t>Y por último</w:t>
                  </w:r>
                  <w:r w:rsidR="00343639">
                    <w:rPr>
                      <w:rFonts w:ascii="Calibri" w:hAnsi="Calibri" w:cs="Calibri"/>
                      <w:color w:val="000000"/>
                    </w:rPr>
                    <w:t>,</w:t>
                  </w:r>
                  <w:r w:rsidRPr="007E3523">
                    <w:rPr>
                      <w:rFonts w:ascii="Calibri" w:hAnsi="Calibri" w:cs="Calibri"/>
                      <w:color w:val="000000"/>
                    </w:rPr>
                    <w:t xml:space="preserve"> la</w:t>
                  </w:r>
                  <w:r w:rsidR="00A94EFF">
                    <w:rPr>
                      <w:rFonts w:ascii="Calibri" w:hAnsi="Calibri" w:cs="Calibri"/>
                      <w:color w:val="000000"/>
                    </w:rPr>
                    <w:t>s</w:t>
                  </w:r>
                  <w:r w:rsidRPr="007E3523">
                    <w:rPr>
                      <w:rFonts w:ascii="Calibri" w:hAnsi="Calibri" w:cs="Calibri"/>
                      <w:color w:val="000000"/>
                    </w:rPr>
                    <w:t xml:space="preserve"> aportaci</w:t>
                  </w:r>
                  <w:r w:rsidR="00A94EFF">
                    <w:rPr>
                      <w:rFonts w:ascii="Calibri" w:hAnsi="Calibri" w:cs="Calibri"/>
                      <w:color w:val="000000"/>
                    </w:rPr>
                    <w:t>ones</w:t>
                  </w:r>
                  <w:r w:rsidRPr="007E3523">
                    <w:rPr>
                      <w:rFonts w:ascii="Calibri" w:hAnsi="Calibri" w:cs="Calibri"/>
                      <w:color w:val="000000"/>
                    </w:rPr>
                    <w:t xml:space="preserve"> </w:t>
                  </w:r>
                  <w:r w:rsidR="00343639">
                    <w:rPr>
                      <w:rFonts w:ascii="Calibri" w:hAnsi="Calibri" w:cs="Calibri"/>
                      <w:color w:val="000000"/>
                    </w:rPr>
                    <w:t>recibida</w:t>
                  </w:r>
                  <w:r w:rsidR="00A94EFF">
                    <w:rPr>
                      <w:rFonts w:ascii="Calibri" w:hAnsi="Calibri" w:cs="Calibri"/>
                      <w:color w:val="000000"/>
                    </w:rPr>
                    <w:t>s</w:t>
                  </w:r>
                  <w:r w:rsidR="00343639">
                    <w:rPr>
                      <w:rFonts w:ascii="Calibri" w:hAnsi="Calibri" w:cs="Calibri"/>
                      <w:color w:val="000000"/>
                    </w:rPr>
                    <w:t xml:space="preserve"> por parte de </w:t>
                  </w:r>
                  <w:r w:rsidRPr="007E3523">
                    <w:rPr>
                      <w:rFonts w:ascii="Calibri" w:hAnsi="Calibri" w:cs="Calibri"/>
                      <w:color w:val="000000"/>
                    </w:rPr>
                    <w:t>DIF</w:t>
                  </w:r>
                  <w:r w:rsidR="00343639">
                    <w:rPr>
                      <w:rFonts w:ascii="Calibri" w:hAnsi="Calibri" w:cs="Calibri"/>
                      <w:color w:val="000000"/>
                    </w:rPr>
                    <w:t xml:space="preserve"> Jalisco,</w:t>
                  </w:r>
                  <w:r w:rsidRPr="007E3523">
                    <w:rPr>
                      <w:rFonts w:ascii="Calibri" w:hAnsi="Calibri" w:cs="Calibri"/>
                      <w:color w:val="000000"/>
                    </w:rPr>
                    <w:t xml:space="preserve"> por la cantidad de</w:t>
                  </w:r>
                  <w:r w:rsidR="007A616A">
                    <w:rPr>
                      <w:rFonts w:ascii="Calibri" w:hAnsi="Calibri" w:cs="Calibri"/>
                      <w:color w:val="000000"/>
                    </w:rPr>
                    <w:t xml:space="preserve">     </w:t>
                  </w:r>
                  <w:r w:rsidRPr="007E3523">
                    <w:rPr>
                      <w:rFonts w:ascii="Calibri" w:hAnsi="Calibri" w:cs="Calibri"/>
                      <w:color w:val="000000"/>
                    </w:rPr>
                    <w:t>$682,709.00</w:t>
                  </w:r>
                  <w:r w:rsidR="00A94EFF">
                    <w:rPr>
                      <w:rFonts w:ascii="Calibri" w:hAnsi="Calibri" w:cs="Calibri"/>
                      <w:color w:val="000000"/>
                    </w:rPr>
                    <w:t xml:space="preserve"> </w:t>
                  </w:r>
                  <w:r w:rsidRPr="007E3523">
                    <w:rPr>
                      <w:rFonts w:ascii="Calibri" w:hAnsi="Calibri" w:cs="Calibri"/>
                      <w:color w:val="000000"/>
                    </w:rPr>
                    <w:t>(Seiscientos sesenta y dos mil setecientos nueve pesos 00/100 M.N.)</w:t>
                  </w:r>
                  <w:r w:rsidR="00343639">
                    <w:rPr>
                      <w:rFonts w:ascii="Calibri" w:hAnsi="Calibri" w:cs="Calibri"/>
                      <w:color w:val="000000"/>
                    </w:rPr>
                    <w:t xml:space="preserve"> para la aplicación </w:t>
                  </w:r>
                  <w:r w:rsidR="007A616A">
                    <w:rPr>
                      <w:rFonts w:ascii="Calibri" w:hAnsi="Calibri" w:cs="Calibri"/>
                      <w:color w:val="000000"/>
                    </w:rPr>
                    <w:t xml:space="preserve">del programa de Albergue Filtro y $ 21,000.00 para la </w:t>
                  </w:r>
                  <w:proofErr w:type="spellStart"/>
                  <w:r w:rsidR="007A616A">
                    <w:rPr>
                      <w:rFonts w:ascii="Calibri" w:hAnsi="Calibri" w:cs="Calibri"/>
                      <w:color w:val="000000"/>
                    </w:rPr>
                    <w:t>sufragación</w:t>
                  </w:r>
                  <w:proofErr w:type="spellEnd"/>
                  <w:r w:rsidR="007A616A">
                    <w:rPr>
                      <w:rFonts w:ascii="Calibri" w:hAnsi="Calibri" w:cs="Calibri"/>
                      <w:color w:val="000000"/>
                    </w:rPr>
                    <w:t xml:space="preserve"> de gastos escolares de los pupilos de la Procuraduría de la defensa del menor y la familia albergados en esta institución.</w:t>
                  </w:r>
                </w:p>
                <w:p w:rsidR="007A616A" w:rsidRDefault="007A616A" w:rsidP="007E3523">
                  <w:pPr>
                    <w:autoSpaceDE w:val="0"/>
                    <w:autoSpaceDN w:val="0"/>
                    <w:adjustRightInd w:val="0"/>
                    <w:spacing w:after="0" w:line="240" w:lineRule="auto"/>
                    <w:jc w:val="both"/>
                    <w:rPr>
                      <w:rFonts w:ascii="Calibri" w:hAnsi="Calibri" w:cs="Calibri"/>
                      <w:color w:val="000000"/>
                    </w:rPr>
                  </w:pPr>
                </w:p>
                <w:p w:rsidR="007A616A" w:rsidRDefault="007A616A"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De igual forma se recibieron la cantidad de $300,000.00 por parte de la Secretaría de Desarrollo e integración social para la puesta en marcha del proyecto de Comedores comunitarios en el Hogar Cabañas.</w:t>
                  </w:r>
                </w:p>
                <w:p w:rsidR="007A616A" w:rsidRDefault="007A616A" w:rsidP="007E3523">
                  <w:pPr>
                    <w:autoSpaceDE w:val="0"/>
                    <w:autoSpaceDN w:val="0"/>
                    <w:adjustRightInd w:val="0"/>
                    <w:spacing w:after="0" w:line="240" w:lineRule="auto"/>
                    <w:jc w:val="both"/>
                    <w:rPr>
                      <w:rFonts w:ascii="Calibri" w:hAnsi="Calibri" w:cs="Calibri"/>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5C6034" w:rsidRDefault="005C6034" w:rsidP="007E3523">
                  <w:pPr>
                    <w:autoSpaceDE w:val="0"/>
                    <w:autoSpaceDN w:val="0"/>
                    <w:adjustRightInd w:val="0"/>
                    <w:spacing w:after="0" w:line="240" w:lineRule="auto"/>
                    <w:jc w:val="both"/>
                    <w:rPr>
                      <w:rFonts w:ascii="Calibri" w:hAnsi="Calibri" w:cs="Calibri"/>
                      <w:color w:val="000000"/>
                    </w:rPr>
                  </w:pPr>
                </w:p>
                <w:p w:rsidR="007A616A" w:rsidRDefault="007A616A" w:rsidP="007E3523">
                  <w:pPr>
                    <w:autoSpaceDE w:val="0"/>
                    <w:autoSpaceDN w:val="0"/>
                    <w:adjustRightInd w:val="0"/>
                    <w:spacing w:after="0" w:line="240" w:lineRule="auto"/>
                    <w:jc w:val="both"/>
                    <w:rPr>
                      <w:rFonts w:ascii="Calibri" w:hAnsi="Calibri" w:cs="Calibri"/>
                      <w:b/>
                      <w:color w:val="000000"/>
                    </w:rPr>
                  </w:pPr>
                </w:p>
                <w:p w:rsidR="007A616A" w:rsidRDefault="007A616A" w:rsidP="007E3523">
                  <w:pPr>
                    <w:autoSpaceDE w:val="0"/>
                    <w:autoSpaceDN w:val="0"/>
                    <w:adjustRightInd w:val="0"/>
                    <w:spacing w:after="0" w:line="240" w:lineRule="auto"/>
                    <w:jc w:val="both"/>
                    <w:rPr>
                      <w:rFonts w:ascii="Calibri" w:hAnsi="Calibri" w:cs="Calibri"/>
                      <w:b/>
                      <w:color w:val="000000"/>
                    </w:rPr>
                  </w:pPr>
                </w:p>
                <w:p w:rsidR="00C42F21" w:rsidRPr="00EB7FC7" w:rsidRDefault="00C42F21" w:rsidP="007E3523">
                  <w:pPr>
                    <w:autoSpaceDE w:val="0"/>
                    <w:autoSpaceDN w:val="0"/>
                    <w:adjustRightInd w:val="0"/>
                    <w:spacing w:after="0" w:line="240" w:lineRule="auto"/>
                    <w:jc w:val="both"/>
                    <w:rPr>
                      <w:rFonts w:ascii="Calibri" w:hAnsi="Calibri" w:cs="Calibri"/>
                      <w:b/>
                      <w:color w:val="000000"/>
                    </w:rPr>
                  </w:pPr>
                  <w:r w:rsidRPr="00EB7FC7">
                    <w:rPr>
                      <w:rFonts w:ascii="Calibri" w:hAnsi="Calibri" w:cs="Calibri"/>
                      <w:b/>
                      <w:color w:val="000000"/>
                    </w:rPr>
                    <w:lastRenderedPageBreak/>
                    <w:t>11.- Información sobre la deuda y reporte analítico de la deuda</w:t>
                  </w:r>
                </w:p>
                <w:p w:rsidR="004E1911" w:rsidRDefault="004E1911" w:rsidP="007E3523">
                  <w:pPr>
                    <w:autoSpaceDE w:val="0"/>
                    <w:autoSpaceDN w:val="0"/>
                    <w:adjustRightInd w:val="0"/>
                    <w:spacing w:after="0" w:line="240" w:lineRule="auto"/>
                    <w:jc w:val="both"/>
                    <w:rPr>
                      <w:rFonts w:ascii="Calibri" w:hAnsi="Calibri" w:cs="Calibri"/>
                      <w:color w:val="000000"/>
                    </w:rPr>
                  </w:pPr>
                </w:p>
                <w:tbl>
                  <w:tblPr>
                    <w:tblW w:w="6098" w:type="dxa"/>
                    <w:tblInd w:w="855" w:type="dxa"/>
                    <w:tblLayout w:type="fixed"/>
                    <w:tblCellMar>
                      <w:left w:w="70" w:type="dxa"/>
                      <w:right w:w="70" w:type="dxa"/>
                    </w:tblCellMar>
                    <w:tblLook w:val="04A0" w:firstRow="1" w:lastRow="0" w:firstColumn="1" w:lastColumn="0" w:noHBand="0" w:noVBand="1"/>
                  </w:tblPr>
                  <w:tblGrid>
                    <w:gridCol w:w="4320"/>
                    <w:gridCol w:w="1778"/>
                  </w:tblGrid>
                  <w:tr w:rsidR="004E1911" w:rsidRPr="004E1911" w:rsidTr="004E1911">
                    <w:trPr>
                      <w:trHeight w:val="300"/>
                    </w:trPr>
                    <w:tc>
                      <w:tcPr>
                        <w:tcW w:w="4320" w:type="dxa"/>
                        <w:tcBorders>
                          <w:top w:val="single" w:sz="4" w:space="0" w:color="auto"/>
                          <w:left w:val="single" w:sz="4" w:space="0" w:color="auto"/>
                          <w:bottom w:val="single" w:sz="4" w:space="0" w:color="auto"/>
                          <w:right w:val="nil"/>
                        </w:tcBorders>
                        <w:shd w:val="clear" w:color="000000" w:fill="D9D9D9"/>
                        <w:noWrap/>
                        <w:vAlign w:val="bottom"/>
                        <w:hideMark/>
                      </w:tcPr>
                      <w:p w:rsidR="004E1911" w:rsidRPr="004E1911" w:rsidRDefault="004E1911" w:rsidP="004E1911">
                        <w:pPr>
                          <w:spacing w:after="0" w:line="240" w:lineRule="auto"/>
                          <w:jc w:val="center"/>
                          <w:rPr>
                            <w:rFonts w:ascii="Calibri" w:eastAsia="Times New Roman" w:hAnsi="Calibri" w:cs="Calibri"/>
                            <w:b/>
                            <w:bCs/>
                            <w:color w:val="000000"/>
                            <w:lang w:eastAsia="es-MX"/>
                          </w:rPr>
                        </w:pPr>
                        <w:r w:rsidRPr="004E1911">
                          <w:rPr>
                            <w:rFonts w:ascii="Calibri" w:eastAsia="Times New Roman" w:hAnsi="Calibri" w:cs="Calibri"/>
                            <w:b/>
                            <w:bCs/>
                            <w:color w:val="000000"/>
                            <w:lang w:eastAsia="es-MX"/>
                          </w:rPr>
                          <w:t>EJERCICIO</w:t>
                        </w:r>
                      </w:p>
                    </w:tc>
                    <w:tc>
                      <w:tcPr>
                        <w:tcW w:w="177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E1911" w:rsidRPr="004E1911" w:rsidRDefault="004E1911" w:rsidP="004E1911">
                        <w:pPr>
                          <w:spacing w:after="0" w:line="240" w:lineRule="auto"/>
                          <w:jc w:val="center"/>
                          <w:rPr>
                            <w:rFonts w:ascii="Calibri" w:eastAsia="Times New Roman" w:hAnsi="Calibri" w:cs="Calibri"/>
                            <w:b/>
                            <w:bCs/>
                            <w:color w:val="000000"/>
                            <w:lang w:eastAsia="es-MX"/>
                          </w:rPr>
                        </w:pPr>
                        <w:r w:rsidRPr="004E1911">
                          <w:rPr>
                            <w:rFonts w:ascii="Calibri" w:eastAsia="Times New Roman" w:hAnsi="Calibri" w:cs="Calibri"/>
                            <w:b/>
                            <w:bCs/>
                            <w:color w:val="000000"/>
                            <w:lang w:eastAsia="es-MX"/>
                          </w:rPr>
                          <w:t>PASIVOS</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2018</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1,602,567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2017</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w:t>
                        </w:r>
                        <w:r>
                          <w:rPr>
                            <w:rFonts w:ascii="Calibri" w:eastAsia="Times New Roman" w:hAnsi="Calibri" w:cs="Calibri"/>
                            <w:color w:val="000000"/>
                            <w:lang w:eastAsia="es-MX"/>
                          </w:rPr>
                          <w:t xml:space="preserve">    </w:t>
                        </w:r>
                        <w:r w:rsidRPr="004E1911">
                          <w:rPr>
                            <w:rFonts w:ascii="Calibri" w:eastAsia="Times New Roman" w:hAnsi="Calibri" w:cs="Calibri"/>
                            <w:color w:val="000000"/>
                            <w:lang w:eastAsia="es-MX"/>
                          </w:rPr>
                          <w:t xml:space="preserve">1,649,465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2016</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1,622,758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2015</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1,513,534 </w:t>
                        </w:r>
                      </w:p>
                    </w:tc>
                  </w:tr>
                  <w:tr w:rsidR="004E1911" w:rsidRPr="004E1911" w:rsidTr="004E1911">
                    <w:trPr>
                      <w:trHeight w:val="300"/>
                    </w:trPr>
                    <w:tc>
                      <w:tcPr>
                        <w:tcW w:w="4320" w:type="dxa"/>
                        <w:tcBorders>
                          <w:top w:val="nil"/>
                          <w:left w:val="single" w:sz="4" w:space="0" w:color="auto"/>
                          <w:bottom w:val="nil"/>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2014</w:t>
                        </w:r>
                      </w:p>
                    </w:tc>
                    <w:tc>
                      <w:tcPr>
                        <w:tcW w:w="1778" w:type="dxa"/>
                        <w:tcBorders>
                          <w:top w:val="nil"/>
                          <w:left w:val="single" w:sz="4" w:space="0" w:color="auto"/>
                          <w:bottom w:val="nil"/>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1,172,282 </w:t>
                        </w:r>
                      </w:p>
                    </w:tc>
                  </w:tr>
                  <w:tr w:rsidR="004E1911" w:rsidRPr="004E1911" w:rsidTr="004E1911">
                    <w:trPr>
                      <w:trHeight w:val="300"/>
                    </w:trPr>
                    <w:tc>
                      <w:tcPr>
                        <w:tcW w:w="4320" w:type="dxa"/>
                        <w:tcBorders>
                          <w:top w:val="nil"/>
                          <w:left w:val="single" w:sz="4" w:space="0" w:color="auto"/>
                          <w:bottom w:val="single" w:sz="4" w:space="0" w:color="auto"/>
                          <w:right w:val="nil"/>
                        </w:tcBorders>
                        <w:shd w:val="clear" w:color="auto" w:fill="auto"/>
                        <w:noWrap/>
                        <w:vAlign w:val="bottom"/>
                        <w:hideMark/>
                      </w:tcPr>
                      <w:p w:rsidR="004E1911" w:rsidRPr="004E1911" w:rsidRDefault="004E1911" w:rsidP="004E1911">
                        <w:pPr>
                          <w:spacing w:after="0" w:line="240" w:lineRule="auto"/>
                          <w:jc w:val="center"/>
                          <w:rPr>
                            <w:rFonts w:ascii="Calibri" w:eastAsia="Times New Roman" w:hAnsi="Calibri" w:cs="Calibri"/>
                            <w:color w:val="000000"/>
                            <w:lang w:eastAsia="es-MX"/>
                          </w:rPr>
                        </w:pPr>
                        <w:r w:rsidRPr="004E1911">
                          <w:rPr>
                            <w:rFonts w:ascii="Calibri" w:eastAsia="Times New Roman" w:hAnsi="Calibri" w:cs="Calibri"/>
                            <w:color w:val="000000"/>
                            <w:lang w:eastAsia="es-MX"/>
                          </w:rPr>
                          <w:t>2013</w:t>
                        </w:r>
                      </w:p>
                    </w:tc>
                    <w:tc>
                      <w:tcPr>
                        <w:tcW w:w="1778" w:type="dxa"/>
                        <w:tcBorders>
                          <w:top w:val="nil"/>
                          <w:left w:val="single" w:sz="4" w:space="0" w:color="auto"/>
                          <w:bottom w:val="single" w:sz="4" w:space="0" w:color="auto"/>
                          <w:right w:val="single" w:sz="4" w:space="0" w:color="auto"/>
                        </w:tcBorders>
                        <w:shd w:val="clear" w:color="auto" w:fill="auto"/>
                        <w:noWrap/>
                        <w:vAlign w:val="bottom"/>
                        <w:hideMark/>
                      </w:tcPr>
                      <w:p w:rsidR="004E1911" w:rsidRPr="004E1911" w:rsidRDefault="004E1911" w:rsidP="004E1911">
                        <w:pPr>
                          <w:spacing w:after="0" w:line="240" w:lineRule="auto"/>
                          <w:rPr>
                            <w:rFonts w:ascii="Calibri" w:eastAsia="Times New Roman" w:hAnsi="Calibri" w:cs="Calibri"/>
                            <w:color w:val="000000"/>
                            <w:lang w:eastAsia="es-MX"/>
                          </w:rPr>
                        </w:pPr>
                        <w:r w:rsidRPr="004E1911">
                          <w:rPr>
                            <w:rFonts w:ascii="Calibri" w:eastAsia="Times New Roman" w:hAnsi="Calibri" w:cs="Calibri"/>
                            <w:color w:val="000000"/>
                            <w:lang w:eastAsia="es-MX"/>
                          </w:rPr>
                          <w:t xml:space="preserve">                 1,242,542 </w:t>
                        </w:r>
                      </w:p>
                    </w:tc>
                  </w:tr>
                </w:tbl>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Default="00C42F21" w:rsidP="00EB7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Las pasivos del Hogar Cabañas son obligaciones contraídas por el pago de proveedores, </w:t>
                  </w:r>
                </w:p>
                <w:p w:rsidR="00C42F21" w:rsidRDefault="00C42F21" w:rsidP="00EB7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Impuestos por pagar y Acreedores diversos que se generaron al final del ejercicio</w:t>
                  </w:r>
                  <w:r w:rsidR="00EB7FC7">
                    <w:rPr>
                      <w:rFonts w:ascii="Calibri" w:hAnsi="Calibri" w:cs="Calibri"/>
                      <w:color w:val="000000"/>
                    </w:rPr>
                    <w:t xml:space="preserve"> 2018</w:t>
                  </w:r>
                </w:p>
                <w:p w:rsidR="00C42F21" w:rsidRDefault="00C42F21" w:rsidP="00EB7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y serán liquidados durante el ejercicio de 2019, sin que representen</w:t>
                  </w:r>
                  <w:r w:rsidR="007A616A">
                    <w:rPr>
                      <w:rFonts w:ascii="Calibri" w:hAnsi="Calibri" w:cs="Calibri"/>
                      <w:color w:val="000000"/>
                    </w:rPr>
                    <w:t xml:space="preserve">           </w:t>
                  </w:r>
                  <w:r>
                    <w:rPr>
                      <w:rFonts w:ascii="Calibri" w:hAnsi="Calibri" w:cs="Calibri"/>
                      <w:color w:val="000000"/>
                    </w:rPr>
                    <w:t xml:space="preserve"> erogaciones</w:t>
                  </w:r>
                </w:p>
                <w:p w:rsidR="00C42F21" w:rsidRDefault="00C42F21" w:rsidP="00EB7FC7">
                  <w:pPr>
                    <w:autoSpaceDE w:val="0"/>
                    <w:autoSpaceDN w:val="0"/>
                    <w:adjustRightInd w:val="0"/>
                    <w:spacing w:after="0" w:line="240" w:lineRule="auto"/>
                    <w:jc w:val="both"/>
                    <w:rPr>
                      <w:rFonts w:ascii="Calibri" w:hAnsi="Calibri" w:cs="Calibri"/>
                      <w:color w:val="000000"/>
                    </w:rPr>
                  </w:pPr>
                  <w:proofErr w:type="gramStart"/>
                  <w:r>
                    <w:rPr>
                      <w:rFonts w:ascii="Calibri" w:hAnsi="Calibri" w:cs="Calibri"/>
                      <w:color w:val="000000"/>
                    </w:rPr>
                    <w:t>mayores</w:t>
                  </w:r>
                  <w:proofErr w:type="gramEnd"/>
                  <w:r>
                    <w:rPr>
                      <w:rFonts w:ascii="Calibri" w:hAnsi="Calibri" w:cs="Calibri"/>
                      <w:color w:val="000000"/>
                    </w:rPr>
                    <w:t xml:space="preserve"> a los ingresos.</w:t>
                  </w:r>
                </w:p>
                <w:p w:rsidR="00C42F21" w:rsidRDefault="00C42F21" w:rsidP="007E3523">
                  <w:pPr>
                    <w:autoSpaceDE w:val="0"/>
                    <w:autoSpaceDN w:val="0"/>
                    <w:adjustRightInd w:val="0"/>
                    <w:spacing w:after="0" w:line="240" w:lineRule="auto"/>
                    <w:jc w:val="both"/>
                    <w:rPr>
                      <w:rFonts w:ascii="Calibri" w:hAnsi="Calibri" w:cs="Calibri"/>
                      <w:color w:val="000000"/>
                    </w:rPr>
                  </w:pPr>
                </w:p>
                <w:p w:rsidR="00EB7FC7" w:rsidRDefault="00EB7FC7" w:rsidP="007E3523">
                  <w:pPr>
                    <w:autoSpaceDE w:val="0"/>
                    <w:autoSpaceDN w:val="0"/>
                    <w:adjustRightInd w:val="0"/>
                    <w:spacing w:after="0" w:line="240" w:lineRule="auto"/>
                    <w:jc w:val="both"/>
                    <w:rPr>
                      <w:rFonts w:ascii="Calibri" w:hAnsi="Calibri" w:cs="Calibri"/>
                      <w:b/>
                      <w:color w:val="000000"/>
                    </w:rPr>
                  </w:pPr>
                </w:p>
                <w:p w:rsidR="00EB7FC7" w:rsidRDefault="00EB7FC7" w:rsidP="007E3523">
                  <w:pPr>
                    <w:autoSpaceDE w:val="0"/>
                    <w:autoSpaceDN w:val="0"/>
                    <w:adjustRightInd w:val="0"/>
                    <w:spacing w:after="0" w:line="240" w:lineRule="auto"/>
                    <w:jc w:val="both"/>
                    <w:rPr>
                      <w:rFonts w:ascii="Calibri" w:hAnsi="Calibri" w:cs="Calibri"/>
                      <w:b/>
                      <w:color w:val="000000"/>
                    </w:rPr>
                  </w:pPr>
                </w:p>
                <w:p w:rsidR="00C42F21" w:rsidRDefault="00C42F21" w:rsidP="007E3523">
                  <w:pPr>
                    <w:autoSpaceDE w:val="0"/>
                    <w:autoSpaceDN w:val="0"/>
                    <w:adjustRightInd w:val="0"/>
                    <w:spacing w:after="0" w:line="240" w:lineRule="auto"/>
                    <w:jc w:val="both"/>
                    <w:rPr>
                      <w:rFonts w:ascii="Calibri" w:hAnsi="Calibri" w:cs="Calibri"/>
                      <w:color w:val="000000"/>
                    </w:rPr>
                  </w:pPr>
                  <w:r w:rsidRPr="00C42F21">
                    <w:rPr>
                      <w:rFonts w:ascii="Calibri" w:hAnsi="Calibri" w:cs="Calibri"/>
                      <w:b/>
                      <w:color w:val="000000"/>
                    </w:rPr>
                    <w:t>12.-Calificaciones otorgadas</w:t>
                  </w:r>
                  <w:r>
                    <w:rPr>
                      <w:rFonts w:ascii="Calibri" w:hAnsi="Calibri" w:cs="Calibri"/>
                      <w:color w:val="000000"/>
                    </w:rPr>
                    <w:t xml:space="preserve"> </w:t>
                  </w:r>
                </w:p>
                <w:p w:rsidR="00C42F21" w:rsidRDefault="00C42F21"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no cuenta con calificación crediticia alguna.</w:t>
                  </w:r>
                </w:p>
                <w:p w:rsidR="00C42F21" w:rsidRDefault="00C42F21" w:rsidP="007E3523">
                  <w:pPr>
                    <w:autoSpaceDE w:val="0"/>
                    <w:autoSpaceDN w:val="0"/>
                    <w:adjustRightInd w:val="0"/>
                    <w:spacing w:after="0" w:line="240" w:lineRule="auto"/>
                    <w:jc w:val="both"/>
                    <w:rPr>
                      <w:rFonts w:ascii="Calibri" w:hAnsi="Calibri" w:cs="Calibri"/>
                      <w:color w:val="000000"/>
                    </w:rPr>
                  </w:pPr>
                </w:p>
                <w:p w:rsidR="00C42F21" w:rsidRDefault="00C42F21" w:rsidP="007E3523">
                  <w:pPr>
                    <w:autoSpaceDE w:val="0"/>
                    <w:autoSpaceDN w:val="0"/>
                    <w:adjustRightInd w:val="0"/>
                    <w:spacing w:after="0" w:line="240" w:lineRule="auto"/>
                    <w:jc w:val="both"/>
                    <w:rPr>
                      <w:rFonts w:ascii="Calibri" w:hAnsi="Calibri" w:cs="Calibri"/>
                      <w:b/>
                      <w:color w:val="000000"/>
                    </w:rPr>
                  </w:pPr>
                  <w:r w:rsidRPr="00C42F21">
                    <w:rPr>
                      <w:rFonts w:ascii="Calibri" w:hAnsi="Calibri" w:cs="Calibri"/>
                      <w:b/>
                      <w:color w:val="000000"/>
                    </w:rPr>
                    <w:t>13.-Procesos de mejora.</w:t>
                  </w:r>
                </w:p>
                <w:p w:rsidR="00C42F21" w:rsidRDefault="00C42F21"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El Hogar Cabañas en el  ejercicio de 2018 como “Procesos sustanciales de mejora” se continuó </w:t>
                  </w:r>
                </w:p>
                <w:p w:rsidR="00C42F21" w:rsidRDefault="00C42F21"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con los 5 Proyectos estratégicos implementados en 2017, y los nuevos  implementados  </w:t>
                  </w:r>
                  <w:r w:rsidR="00EB7FC7">
                    <w:rPr>
                      <w:rFonts w:ascii="Calibri" w:hAnsi="Calibri" w:cs="Calibri"/>
                      <w:color w:val="000000"/>
                    </w:rPr>
                    <w:t xml:space="preserve">  </w:t>
                  </w:r>
                  <w:r>
                    <w:rPr>
                      <w:rFonts w:ascii="Calibri" w:hAnsi="Calibri" w:cs="Calibri"/>
                      <w:color w:val="000000"/>
                    </w:rPr>
                    <w:t>para</w:t>
                  </w:r>
                </w:p>
                <w:p w:rsidR="00C42F21" w:rsidRDefault="00EB7FC7" w:rsidP="007E352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w:t>
                  </w:r>
                  <w:proofErr w:type="gramStart"/>
                  <w:r>
                    <w:rPr>
                      <w:rFonts w:ascii="Calibri" w:hAnsi="Calibri" w:cs="Calibri"/>
                      <w:color w:val="000000"/>
                    </w:rPr>
                    <w:t>el</w:t>
                  </w:r>
                  <w:proofErr w:type="gramEnd"/>
                  <w:r>
                    <w:rPr>
                      <w:rFonts w:ascii="Calibri" w:hAnsi="Calibri" w:cs="Calibri"/>
                      <w:color w:val="000000"/>
                    </w:rPr>
                    <w:t xml:space="preserve"> ejercicio de</w:t>
                  </w:r>
                  <w:r w:rsidR="00C42F21">
                    <w:rPr>
                      <w:rFonts w:ascii="Calibri" w:hAnsi="Calibri" w:cs="Calibri"/>
                      <w:color w:val="000000"/>
                    </w:rPr>
                    <w:t xml:space="preserve"> 2018, que sirvieron para impulsar diferentes áreas y capacidades de los albergados en el Hogar Cabañas. De igual forma fue creada la Matriz de indicadores de resultados, como herramienta</w:t>
                  </w:r>
                  <w:r>
                    <w:rPr>
                      <w:rFonts w:ascii="Calibri" w:hAnsi="Calibri" w:cs="Calibri"/>
                      <w:color w:val="000000"/>
                    </w:rPr>
                    <w:t xml:space="preserve">  </w:t>
                  </w:r>
                  <w:r w:rsidR="00C42F21">
                    <w:rPr>
                      <w:rFonts w:ascii="Calibri" w:hAnsi="Calibri" w:cs="Calibri"/>
                      <w:color w:val="000000"/>
                    </w:rPr>
                    <w:t xml:space="preserve"> para el seguimiento y evaluación del Programa Operativo Anual del Hogar Cabañas y cumplir satisfactoriamente con las metas programadas al inicio del ejercicio de 2018, las cuales</w:t>
                  </w:r>
                  <w:r>
                    <w:rPr>
                      <w:rFonts w:ascii="Calibri" w:hAnsi="Calibri" w:cs="Calibri"/>
                      <w:color w:val="000000"/>
                    </w:rPr>
                    <w:t xml:space="preserve">  </w:t>
                  </w:r>
                  <w:r w:rsidR="00C42F21">
                    <w:rPr>
                      <w:rFonts w:ascii="Calibri" w:hAnsi="Calibri" w:cs="Calibri"/>
                      <w:color w:val="000000"/>
                    </w:rPr>
                    <w:t xml:space="preserve"> fueron alcanzadas casi en su totalidad.</w:t>
                  </w:r>
                </w:p>
                <w:tbl>
                  <w:tblPr>
                    <w:tblW w:w="9236" w:type="dxa"/>
                    <w:tblInd w:w="70" w:type="dxa"/>
                    <w:tblLayout w:type="fixed"/>
                    <w:tblCellMar>
                      <w:left w:w="70" w:type="dxa"/>
                      <w:right w:w="70" w:type="dxa"/>
                    </w:tblCellMar>
                    <w:tblLook w:val="0000" w:firstRow="0" w:lastRow="0" w:firstColumn="0" w:lastColumn="0" w:noHBand="0" w:noVBand="0"/>
                  </w:tblPr>
                  <w:tblGrid>
                    <w:gridCol w:w="4417"/>
                    <w:gridCol w:w="4819"/>
                  </w:tblGrid>
                  <w:tr w:rsidR="003476BB" w:rsidTr="000441E1">
                    <w:trPr>
                      <w:trHeight w:val="290"/>
                    </w:trPr>
                    <w:tc>
                      <w:tcPr>
                        <w:tcW w:w="9236" w:type="dxa"/>
                        <w:gridSpan w:val="2"/>
                        <w:tcBorders>
                          <w:top w:val="nil"/>
                          <w:left w:val="nil"/>
                          <w:bottom w:val="nil"/>
                          <w:right w:val="nil"/>
                        </w:tcBorders>
                        <w:shd w:val="solid" w:color="FFFFFF" w:fill="auto"/>
                      </w:tcPr>
                      <w:p w:rsidR="003476BB" w:rsidRDefault="003476BB"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b/>
                            <w:color w:val="000000"/>
                          </w:rPr>
                        </w:pPr>
                        <w:r w:rsidRPr="003476BB">
                          <w:rPr>
                            <w:rFonts w:ascii="Calibri" w:hAnsi="Calibri" w:cs="Calibri"/>
                            <w:b/>
                            <w:color w:val="000000"/>
                          </w:rPr>
                          <w:t>14.-Información por segmentos.</w:t>
                        </w:r>
                      </w:p>
                      <w:p w:rsidR="00EB7FC7" w:rsidRPr="003476BB" w:rsidRDefault="00EB7FC7" w:rsidP="003476BB">
                        <w:pPr>
                          <w:autoSpaceDE w:val="0"/>
                          <w:autoSpaceDN w:val="0"/>
                          <w:adjustRightInd w:val="0"/>
                          <w:spacing w:after="0" w:line="240" w:lineRule="auto"/>
                          <w:jc w:val="both"/>
                          <w:rPr>
                            <w:rFonts w:ascii="Calibri" w:hAnsi="Calibri" w:cs="Calibri"/>
                            <w:b/>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El Hogar Cabañas recibió por parte del Gobierno del Estado de Jalisco:</w:t>
                        </w:r>
                      </w:p>
                      <w:p w:rsidR="003476BB" w:rsidRDefault="003476BB"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Subsidio Estatal: $ 48,473,207.00 (Cuarenta y ocho millones cuatrocientos setenta y tres mil </w:t>
                        </w:r>
                      </w:p>
                      <w:p w:rsidR="003476BB" w:rsidRDefault="003476BB" w:rsidP="003476BB">
                        <w:pPr>
                          <w:autoSpaceDE w:val="0"/>
                          <w:autoSpaceDN w:val="0"/>
                          <w:adjustRightInd w:val="0"/>
                          <w:spacing w:after="0" w:line="240" w:lineRule="auto"/>
                          <w:jc w:val="both"/>
                          <w:rPr>
                            <w:rFonts w:ascii="Calibri" w:hAnsi="Calibri" w:cs="Calibri"/>
                            <w:color w:val="000000"/>
                          </w:rPr>
                        </w:pPr>
                        <w:proofErr w:type="gramStart"/>
                        <w:r>
                          <w:rPr>
                            <w:rFonts w:ascii="Calibri" w:hAnsi="Calibri" w:cs="Calibri"/>
                            <w:color w:val="000000"/>
                          </w:rPr>
                          <w:t>doscientos</w:t>
                        </w:r>
                        <w:proofErr w:type="gramEnd"/>
                        <w:r>
                          <w:rPr>
                            <w:rFonts w:ascii="Calibri" w:hAnsi="Calibri" w:cs="Calibri"/>
                            <w:color w:val="000000"/>
                          </w:rPr>
                          <w:t xml:space="preserve"> siete pesos 00/100 M.N.)</w:t>
                        </w:r>
                      </w:p>
                      <w:p w:rsidR="003476BB" w:rsidRDefault="003476BB" w:rsidP="003476BB">
                        <w:pPr>
                          <w:autoSpaceDE w:val="0"/>
                          <w:autoSpaceDN w:val="0"/>
                          <w:adjustRightInd w:val="0"/>
                          <w:spacing w:after="0" w:line="240" w:lineRule="auto"/>
                          <w:jc w:val="both"/>
                          <w:rPr>
                            <w:rFonts w:ascii="Calibri" w:hAnsi="Calibri" w:cs="Calibri"/>
                            <w:color w:val="000000"/>
                          </w:rPr>
                        </w:pPr>
                      </w:p>
                      <w:p w:rsidR="00EB7FC7"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Aportaciones adicionales al pago de Refrendos Vehiculares del 2018 ascendieron a </w:t>
                        </w:r>
                        <w:r w:rsidR="00EB7FC7">
                          <w:rPr>
                            <w:rFonts w:ascii="Calibri" w:hAnsi="Calibri" w:cs="Calibri"/>
                            <w:color w:val="000000"/>
                          </w:rPr>
                          <w:t xml:space="preserve">         </w:t>
                        </w:r>
                        <w:r>
                          <w:rPr>
                            <w:rFonts w:ascii="Calibri" w:hAnsi="Calibri" w:cs="Calibri"/>
                            <w:color w:val="000000"/>
                          </w:rPr>
                          <w:t xml:space="preserve">la </w:t>
                        </w:r>
                      </w:p>
                      <w:p w:rsidR="003476BB" w:rsidRDefault="005C6034"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cantidad de $ 45’563</w:t>
                        </w:r>
                        <w:r w:rsidR="003476BB">
                          <w:rPr>
                            <w:rFonts w:ascii="Calibri" w:hAnsi="Calibri" w:cs="Calibri"/>
                            <w:color w:val="000000"/>
                          </w:rPr>
                          <w:t>,</w:t>
                        </w:r>
                        <w:r>
                          <w:rPr>
                            <w:rFonts w:ascii="Calibri" w:hAnsi="Calibri" w:cs="Calibri"/>
                            <w:color w:val="000000"/>
                          </w:rPr>
                          <w:t xml:space="preserve">335 </w:t>
                        </w:r>
                        <w:r w:rsidR="003476BB">
                          <w:rPr>
                            <w:rFonts w:ascii="Calibri" w:hAnsi="Calibri" w:cs="Calibri"/>
                            <w:color w:val="000000"/>
                          </w:rPr>
                          <w:t xml:space="preserve">.50 (Cuarenta y cinco millones quinientos sesenta y </w:t>
                        </w:r>
                        <w:r>
                          <w:rPr>
                            <w:rFonts w:ascii="Calibri" w:hAnsi="Calibri" w:cs="Calibri"/>
                            <w:color w:val="000000"/>
                          </w:rPr>
                          <w:t xml:space="preserve">tres mil </w:t>
                        </w:r>
                      </w:p>
                      <w:p w:rsidR="003476BB" w:rsidRDefault="005C6034" w:rsidP="003476BB">
                        <w:pPr>
                          <w:autoSpaceDE w:val="0"/>
                          <w:autoSpaceDN w:val="0"/>
                          <w:adjustRightInd w:val="0"/>
                          <w:spacing w:after="0" w:line="240" w:lineRule="auto"/>
                          <w:jc w:val="both"/>
                          <w:rPr>
                            <w:rFonts w:ascii="Calibri" w:hAnsi="Calibri" w:cs="Calibri"/>
                            <w:color w:val="000000"/>
                          </w:rPr>
                        </w:pPr>
                        <w:proofErr w:type="gramStart"/>
                        <w:r>
                          <w:rPr>
                            <w:rFonts w:ascii="Calibri" w:hAnsi="Calibri" w:cs="Calibri"/>
                            <w:color w:val="000000"/>
                          </w:rPr>
                          <w:t>trescientos</w:t>
                        </w:r>
                        <w:proofErr w:type="gramEnd"/>
                        <w:r>
                          <w:rPr>
                            <w:rFonts w:ascii="Calibri" w:hAnsi="Calibri" w:cs="Calibri"/>
                            <w:color w:val="000000"/>
                          </w:rPr>
                          <w:t xml:space="preserve"> treinta y cinco pesos </w:t>
                        </w:r>
                        <w:r w:rsidR="003476BB">
                          <w:rPr>
                            <w:rFonts w:ascii="Calibri" w:hAnsi="Calibri" w:cs="Calibri"/>
                            <w:color w:val="000000"/>
                          </w:rPr>
                          <w:t xml:space="preserve"> 50/100 M.N.)</w:t>
                        </w:r>
                      </w:p>
                      <w:p w:rsidR="00EB7FC7" w:rsidRDefault="00EB7FC7"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Aportaciones adicionales al pago de Refrendos Vehiculares de Diciembre de 2017 </w:t>
                        </w:r>
                        <w:r w:rsidR="00EB7FC7">
                          <w:rPr>
                            <w:rFonts w:ascii="Calibri" w:hAnsi="Calibri" w:cs="Calibri"/>
                            <w:color w:val="000000"/>
                          </w:rPr>
                          <w:t xml:space="preserve">    </w:t>
                        </w:r>
                        <w:r>
                          <w:rPr>
                            <w:rFonts w:ascii="Calibri" w:hAnsi="Calibri" w:cs="Calibri"/>
                            <w:color w:val="000000"/>
                          </w:rPr>
                          <w:t>por la</w:t>
                        </w:r>
                      </w:p>
                      <w:p w:rsidR="00EB7FC7"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cantidad de $ 527,940.00 (Quinientos veintisiete mil novecientos cuarenta pesos </w:t>
                        </w:r>
                        <w:r w:rsidR="00EB7FC7">
                          <w:rPr>
                            <w:rFonts w:ascii="Calibri" w:hAnsi="Calibri" w:cs="Calibri"/>
                            <w:color w:val="000000"/>
                          </w:rPr>
                          <w:t xml:space="preserve">   </w:t>
                        </w:r>
                        <w:r>
                          <w:rPr>
                            <w:rFonts w:ascii="Calibri" w:hAnsi="Calibri" w:cs="Calibri"/>
                            <w:color w:val="000000"/>
                          </w:rPr>
                          <w:t>00/100</w:t>
                        </w: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M.N.) </w:t>
                        </w:r>
                      </w:p>
                      <w:p w:rsidR="003476BB" w:rsidRDefault="003476BB" w:rsidP="003476BB">
                        <w:pPr>
                          <w:autoSpaceDE w:val="0"/>
                          <w:autoSpaceDN w:val="0"/>
                          <w:adjustRightInd w:val="0"/>
                          <w:spacing w:after="0" w:line="240" w:lineRule="auto"/>
                          <w:jc w:val="both"/>
                          <w:rPr>
                            <w:rFonts w:ascii="Calibri" w:hAnsi="Calibri" w:cs="Calibri"/>
                            <w:color w:val="000000"/>
                          </w:rPr>
                        </w:pP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Aportaciones</w:t>
                        </w:r>
                        <w:r w:rsidR="00EB7FC7">
                          <w:rPr>
                            <w:rFonts w:ascii="Calibri" w:hAnsi="Calibri" w:cs="Calibri"/>
                            <w:color w:val="000000"/>
                          </w:rPr>
                          <w:t xml:space="preserve"> del</w:t>
                        </w:r>
                        <w:r>
                          <w:rPr>
                            <w:rFonts w:ascii="Calibri" w:hAnsi="Calibri" w:cs="Calibri"/>
                            <w:color w:val="000000"/>
                          </w:rPr>
                          <w:t xml:space="preserve"> </w:t>
                        </w:r>
                        <w:proofErr w:type="spellStart"/>
                        <w:r>
                          <w:rPr>
                            <w:rFonts w:ascii="Calibri" w:hAnsi="Calibri" w:cs="Calibri"/>
                            <w:color w:val="000000"/>
                          </w:rPr>
                          <w:t>Dif</w:t>
                        </w:r>
                        <w:proofErr w:type="spellEnd"/>
                        <w:r>
                          <w:rPr>
                            <w:rFonts w:ascii="Calibri" w:hAnsi="Calibri" w:cs="Calibri"/>
                            <w:color w:val="000000"/>
                          </w:rPr>
                          <w:t xml:space="preserve"> Jalisco por la cantidad de</w:t>
                        </w:r>
                        <w:r w:rsidR="00B41788">
                          <w:rPr>
                            <w:rFonts w:ascii="Calibri" w:hAnsi="Calibri" w:cs="Calibri"/>
                            <w:color w:val="000000"/>
                          </w:rPr>
                          <w:t xml:space="preserve"> </w:t>
                        </w:r>
                        <w:r>
                          <w:rPr>
                            <w:rFonts w:ascii="Calibri" w:hAnsi="Calibri" w:cs="Calibri"/>
                            <w:color w:val="000000"/>
                          </w:rPr>
                          <w:t xml:space="preserve">$682,709.00 (Seiscientos ochenta y </w:t>
                        </w:r>
                        <w:r w:rsidR="00EB7FC7">
                          <w:rPr>
                            <w:rFonts w:ascii="Calibri" w:hAnsi="Calibri" w:cs="Calibri"/>
                            <w:color w:val="000000"/>
                          </w:rPr>
                          <w:t xml:space="preserve">   </w:t>
                        </w:r>
                        <w:r>
                          <w:rPr>
                            <w:rFonts w:ascii="Calibri" w:hAnsi="Calibri" w:cs="Calibri"/>
                            <w:color w:val="000000"/>
                          </w:rPr>
                          <w:t xml:space="preserve">dos mil </w:t>
                        </w: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setecientos nueve pesos 00/100  para el programa Albergue</w:t>
                        </w:r>
                        <w:r w:rsidR="00EB7FC7">
                          <w:rPr>
                            <w:rFonts w:ascii="Calibri" w:hAnsi="Calibri" w:cs="Calibri"/>
                            <w:color w:val="000000"/>
                          </w:rPr>
                          <w:t xml:space="preserve"> f</w:t>
                        </w:r>
                        <w:r>
                          <w:rPr>
                            <w:rFonts w:ascii="Calibri" w:hAnsi="Calibri" w:cs="Calibri"/>
                            <w:color w:val="000000"/>
                          </w:rPr>
                          <w:t xml:space="preserve">iltro y la </w:t>
                        </w:r>
                        <w:r w:rsidR="00EB7FC7">
                          <w:rPr>
                            <w:rFonts w:ascii="Calibri" w:hAnsi="Calibri" w:cs="Calibri"/>
                            <w:color w:val="000000"/>
                          </w:rPr>
                          <w:t xml:space="preserve">                  </w:t>
                        </w:r>
                        <w:r>
                          <w:rPr>
                            <w:rFonts w:ascii="Calibri" w:hAnsi="Calibri" w:cs="Calibri"/>
                            <w:color w:val="000000"/>
                          </w:rPr>
                          <w:t xml:space="preserve">cantidad de </w:t>
                        </w: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$21,000.00 (Veintiún mil pesos 00/100 M.N.) para la adquisición de material escolar </w:t>
                        </w:r>
                        <w:r w:rsidR="00EB7FC7">
                          <w:rPr>
                            <w:rFonts w:ascii="Calibri" w:hAnsi="Calibri" w:cs="Calibri"/>
                            <w:color w:val="000000"/>
                          </w:rPr>
                          <w:t xml:space="preserve">     </w:t>
                        </w:r>
                        <w:r>
                          <w:rPr>
                            <w:rFonts w:ascii="Calibri" w:hAnsi="Calibri" w:cs="Calibri"/>
                            <w:color w:val="000000"/>
                          </w:rPr>
                          <w:t>para</w:t>
                        </w:r>
                        <w:r w:rsidR="00EB7FC7">
                          <w:rPr>
                            <w:rFonts w:ascii="Calibri" w:hAnsi="Calibri" w:cs="Calibri"/>
                            <w:color w:val="000000"/>
                          </w:rPr>
                          <w:t xml:space="preserve"> </w:t>
                        </w:r>
                      </w:p>
                      <w:p w:rsidR="00EB7FC7"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los pupilos de la Procuraduría de la Defensa del menor y la familia albergados en el Hogar </w:t>
                        </w:r>
                      </w:p>
                      <w:p w:rsidR="003476BB" w:rsidRDefault="003476BB" w:rsidP="00EB7FC7">
                        <w:pPr>
                          <w:autoSpaceDE w:val="0"/>
                          <w:autoSpaceDN w:val="0"/>
                          <w:adjustRightInd w:val="0"/>
                          <w:spacing w:after="0" w:line="240" w:lineRule="auto"/>
                          <w:rPr>
                            <w:rFonts w:ascii="Calibri" w:hAnsi="Calibri" w:cs="Calibri"/>
                            <w:color w:val="000000"/>
                          </w:rPr>
                        </w:pPr>
                        <w:r>
                          <w:rPr>
                            <w:rFonts w:ascii="Calibri" w:hAnsi="Calibri" w:cs="Calibri"/>
                            <w:color w:val="000000"/>
                          </w:rPr>
                          <w:t>Cabañas.</w:t>
                        </w:r>
                      </w:p>
                      <w:p w:rsidR="00B41788" w:rsidRDefault="00B41788"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Aportaciones de la Secretaría de Desarrollo e integración Social </w:t>
                        </w:r>
                        <w:r w:rsidR="00EB7FC7">
                          <w:rPr>
                            <w:rFonts w:ascii="Calibri" w:hAnsi="Calibri" w:cs="Calibri"/>
                            <w:color w:val="000000"/>
                          </w:rPr>
                          <w:t xml:space="preserve">      </w:t>
                        </w:r>
                        <w:r>
                          <w:rPr>
                            <w:rFonts w:ascii="Calibri" w:hAnsi="Calibri" w:cs="Calibri"/>
                            <w:color w:val="000000"/>
                          </w:rPr>
                          <w:t xml:space="preserve">por la cantidad </w:t>
                        </w:r>
                        <w:r w:rsidR="00EB7FC7">
                          <w:rPr>
                            <w:rFonts w:ascii="Calibri" w:hAnsi="Calibri" w:cs="Calibri"/>
                            <w:color w:val="000000"/>
                          </w:rPr>
                          <w:t xml:space="preserve">            </w:t>
                        </w:r>
                        <w:r>
                          <w:rPr>
                            <w:rFonts w:ascii="Calibri" w:hAnsi="Calibri" w:cs="Calibri"/>
                            <w:color w:val="000000"/>
                          </w:rPr>
                          <w:t xml:space="preserve">de </w:t>
                        </w:r>
                      </w:p>
                      <w:p w:rsidR="003476BB" w:rsidRDefault="003476BB"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$300,000.00 (Tres cientos mil pesos 00/100 M.N.) para la implementación del programa de</w:t>
                        </w:r>
                      </w:p>
                      <w:p w:rsidR="003476BB" w:rsidRDefault="00EB7FC7"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Comedores C</w:t>
                        </w:r>
                        <w:r w:rsidR="003476BB">
                          <w:rPr>
                            <w:rFonts w:ascii="Calibri" w:hAnsi="Calibri" w:cs="Calibri"/>
                            <w:color w:val="000000"/>
                          </w:rPr>
                          <w:t>omunitarios.</w:t>
                        </w:r>
                      </w:p>
                      <w:p w:rsidR="003476BB" w:rsidRDefault="003476BB" w:rsidP="003476BB">
                        <w:pPr>
                          <w:autoSpaceDE w:val="0"/>
                          <w:autoSpaceDN w:val="0"/>
                          <w:adjustRightInd w:val="0"/>
                          <w:spacing w:after="0" w:line="240" w:lineRule="auto"/>
                          <w:jc w:val="both"/>
                          <w:rPr>
                            <w:rFonts w:ascii="Calibri" w:hAnsi="Calibri" w:cs="Calibri"/>
                            <w:color w:val="000000"/>
                          </w:rPr>
                        </w:pPr>
                      </w:p>
                      <w:p w:rsidR="003476BB" w:rsidRPr="003476BB" w:rsidRDefault="003476BB" w:rsidP="003476BB">
                        <w:pPr>
                          <w:autoSpaceDE w:val="0"/>
                          <w:autoSpaceDN w:val="0"/>
                          <w:adjustRightInd w:val="0"/>
                          <w:spacing w:after="0" w:line="240" w:lineRule="auto"/>
                          <w:jc w:val="both"/>
                          <w:rPr>
                            <w:rFonts w:ascii="Calibri" w:hAnsi="Calibri" w:cs="Calibri"/>
                            <w:b/>
                            <w:color w:val="000000"/>
                          </w:rPr>
                        </w:pPr>
                        <w:r w:rsidRPr="003476BB">
                          <w:rPr>
                            <w:rFonts w:ascii="Calibri" w:hAnsi="Calibri" w:cs="Calibri"/>
                            <w:b/>
                            <w:color w:val="000000"/>
                          </w:rPr>
                          <w:t>15.-Eventos posteriores al cierre.</w:t>
                        </w:r>
                      </w:p>
                      <w:p w:rsidR="00EB7FC7"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 xml:space="preserve">Al cierre del ejercicio de2018,  queda pendiente la conciliación de los </w:t>
                        </w:r>
                        <w:r w:rsidR="00EB7FC7">
                          <w:rPr>
                            <w:rFonts w:ascii="Calibri" w:hAnsi="Calibri" w:cs="Calibri"/>
                            <w:color w:val="000000"/>
                          </w:rPr>
                          <w:t xml:space="preserve">bienes muebles </w:t>
                        </w:r>
                        <w:proofErr w:type="spellStart"/>
                        <w:r w:rsidR="00EB7FC7">
                          <w:rPr>
                            <w:rFonts w:ascii="Calibri" w:hAnsi="Calibri" w:cs="Calibri"/>
                            <w:color w:val="000000"/>
                          </w:rPr>
                          <w:t>desin</w:t>
                        </w:r>
                        <w:proofErr w:type="spellEnd"/>
                        <w:r w:rsidR="00EB7FC7">
                          <w:rPr>
                            <w:rFonts w:ascii="Calibri" w:hAnsi="Calibri" w:cs="Calibri"/>
                            <w:color w:val="000000"/>
                          </w:rPr>
                          <w:t>-</w:t>
                        </w:r>
                      </w:p>
                      <w:p w:rsidR="00EB7FC7" w:rsidRDefault="007A616A" w:rsidP="003476BB">
                        <w:pPr>
                          <w:autoSpaceDE w:val="0"/>
                          <w:autoSpaceDN w:val="0"/>
                          <w:adjustRightInd w:val="0"/>
                          <w:spacing w:after="0" w:line="240" w:lineRule="auto"/>
                          <w:jc w:val="both"/>
                          <w:rPr>
                            <w:rFonts w:ascii="Calibri" w:hAnsi="Calibri" w:cs="Calibri"/>
                            <w:color w:val="000000"/>
                          </w:rPr>
                        </w:pPr>
                        <w:proofErr w:type="spellStart"/>
                        <w:r>
                          <w:rPr>
                            <w:rFonts w:ascii="Calibri" w:hAnsi="Calibri" w:cs="Calibri"/>
                            <w:color w:val="000000"/>
                          </w:rPr>
                          <w:t>c</w:t>
                        </w:r>
                        <w:r w:rsidR="00EB7FC7">
                          <w:rPr>
                            <w:rFonts w:ascii="Calibri" w:hAnsi="Calibri" w:cs="Calibri"/>
                            <w:color w:val="000000"/>
                          </w:rPr>
                          <w:t>orporados</w:t>
                        </w:r>
                        <w:proofErr w:type="spellEnd"/>
                        <w:r w:rsidR="00EB7FC7">
                          <w:rPr>
                            <w:rFonts w:ascii="Calibri" w:hAnsi="Calibri" w:cs="Calibri"/>
                            <w:color w:val="000000"/>
                          </w:rPr>
                          <w:t xml:space="preserve"> </w:t>
                        </w:r>
                        <w:r w:rsidR="003476BB" w:rsidRPr="003476BB">
                          <w:rPr>
                            <w:rFonts w:ascii="Calibri" w:hAnsi="Calibri" w:cs="Calibri"/>
                            <w:color w:val="000000"/>
                          </w:rPr>
                          <w:t>contra los registros contables</w:t>
                        </w:r>
                        <w:r w:rsidR="00EB7FC7">
                          <w:rPr>
                            <w:rFonts w:ascii="Calibri" w:hAnsi="Calibri" w:cs="Calibri"/>
                            <w:color w:val="000000"/>
                          </w:rPr>
                          <w:t>,</w:t>
                        </w:r>
                        <w:r w:rsidR="003476BB" w:rsidRPr="003476BB">
                          <w:rPr>
                            <w:rFonts w:ascii="Calibri" w:hAnsi="Calibri" w:cs="Calibri"/>
                            <w:color w:val="000000"/>
                          </w:rPr>
                          <w:t xml:space="preserve"> y por ende la conciliación con las depreciaciones </w:t>
                        </w:r>
                      </w:p>
                      <w:p w:rsidR="003476BB" w:rsidRPr="003476BB" w:rsidRDefault="003476BB" w:rsidP="003476BB">
                        <w:pPr>
                          <w:autoSpaceDE w:val="0"/>
                          <w:autoSpaceDN w:val="0"/>
                          <w:adjustRightInd w:val="0"/>
                          <w:spacing w:after="0" w:line="240" w:lineRule="auto"/>
                          <w:jc w:val="both"/>
                          <w:rPr>
                            <w:rFonts w:ascii="Calibri" w:hAnsi="Calibri" w:cs="Calibri"/>
                            <w:color w:val="000000"/>
                          </w:rPr>
                        </w:pPr>
                        <w:proofErr w:type="gramStart"/>
                        <w:r w:rsidRPr="003476BB">
                          <w:rPr>
                            <w:rFonts w:ascii="Calibri" w:hAnsi="Calibri" w:cs="Calibri"/>
                            <w:color w:val="000000"/>
                          </w:rPr>
                          <w:t>contables</w:t>
                        </w:r>
                        <w:proofErr w:type="gramEnd"/>
                        <w:r w:rsidRPr="003476BB">
                          <w:rPr>
                            <w:rFonts w:ascii="Calibri" w:hAnsi="Calibri" w:cs="Calibri"/>
                            <w:color w:val="000000"/>
                          </w:rPr>
                          <w:t>.</w:t>
                        </w:r>
                      </w:p>
                      <w:p w:rsidR="00EB7FC7" w:rsidRDefault="00EB7FC7"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Se llevará a cabo la revalu</w:t>
                        </w:r>
                        <w:r w:rsidR="00B41788">
                          <w:rPr>
                            <w:rFonts w:ascii="Calibri" w:hAnsi="Calibri" w:cs="Calibri"/>
                            <w:color w:val="000000"/>
                          </w:rPr>
                          <w:t>a</w:t>
                        </w:r>
                        <w:r w:rsidRPr="003476BB">
                          <w:rPr>
                            <w:rFonts w:ascii="Calibri" w:hAnsi="Calibri" w:cs="Calibri"/>
                            <w:color w:val="000000"/>
                          </w:rPr>
                          <w:t>ción de bienes muebles e inmuebles que ya contaban con valor de</w:t>
                        </w:r>
                      </w:p>
                      <w:p w:rsidR="00EB7FC7"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$1.00</w:t>
                        </w:r>
                      </w:p>
                      <w:p w:rsidR="00EB7FC7" w:rsidRDefault="00EB7FC7" w:rsidP="003476BB">
                        <w:pPr>
                          <w:autoSpaceDE w:val="0"/>
                          <w:autoSpaceDN w:val="0"/>
                          <w:adjustRightInd w:val="0"/>
                          <w:spacing w:after="0" w:line="240" w:lineRule="auto"/>
                          <w:jc w:val="both"/>
                          <w:rPr>
                            <w:rFonts w:ascii="Calibri" w:hAnsi="Calibri" w:cs="Calibri"/>
                            <w:color w:val="000000"/>
                          </w:rPr>
                        </w:pPr>
                      </w:p>
                      <w:p w:rsidR="00EB7FC7" w:rsidRDefault="007A616A"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La Secretaría de la Hacienda  pública </w:t>
                        </w:r>
                        <w:r w:rsidR="003476BB" w:rsidRPr="003476BB">
                          <w:rPr>
                            <w:rFonts w:ascii="Calibri" w:hAnsi="Calibri" w:cs="Calibri"/>
                            <w:color w:val="000000"/>
                          </w:rPr>
                          <w:t xml:space="preserve">del Gobierno del Estado </w:t>
                        </w:r>
                        <w:r w:rsidR="00EB7FC7">
                          <w:rPr>
                            <w:rFonts w:ascii="Calibri" w:hAnsi="Calibri" w:cs="Calibri"/>
                            <w:color w:val="000000"/>
                          </w:rPr>
                          <w:t xml:space="preserve">      </w:t>
                        </w:r>
                        <w:r w:rsidR="003476BB" w:rsidRPr="003476BB">
                          <w:rPr>
                            <w:rFonts w:ascii="Calibri" w:hAnsi="Calibri" w:cs="Calibri"/>
                            <w:color w:val="000000"/>
                          </w:rPr>
                          <w:t xml:space="preserve">adeuda </w:t>
                        </w:r>
                        <w:r w:rsidR="00EB7FC7">
                          <w:rPr>
                            <w:rFonts w:ascii="Calibri" w:hAnsi="Calibri" w:cs="Calibri"/>
                            <w:color w:val="000000"/>
                          </w:rPr>
                          <w:t xml:space="preserve">  </w:t>
                        </w:r>
                        <w:r w:rsidR="00111868">
                          <w:rPr>
                            <w:rFonts w:ascii="Calibri" w:hAnsi="Calibri" w:cs="Calibri"/>
                            <w:color w:val="000000"/>
                          </w:rPr>
                          <w:t xml:space="preserve">    </w:t>
                        </w:r>
                        <w:r w:rsidR="00EB7FC7">
                          <w:rPr>
                            <w:rFonts w:ascii="Calibri" w:hAnsi="Calibri" w:cs="Calibri"/>
                            <w:color w:val="000000"/>
                          </w:rPr>
                          <w:t xml:space="preserve"> </w:t>
                        </w:r>
                        <w:r w:rsidR="00111868">
                          <w:rPr>
                            <w:rFonts w:ascii="Calibri" w:hAnsi="Calibri" w:cs="Calibri"/>
                            <w:color w:val="000000"/>
                          </w:rPr>
                          <w:t xml:space="preserve"> </w:t>
                        </w:r>
                        <w:r w:rsidR="003476BB" w:rsidRPr="003476BB">
                          <w:rPr>
                            <w:rFonts w:ascii="Calibri" w:hAnsi="Calibri" w:cs="Calibri"/>
                            <w:color w:val="000000"/>
                          </w:rPr>
                          <w:t>a</w:t>
                        </w:r>
                        <w:r w:rsidR="00EB7FC7">
                          <w:rPr>
                            <w:rFonts w:ascii="Calibri" w:hAnsi="Calibri" w:cs="Calibri"/>
                            <w:color w:val="000000"/>
                          </w:rPr>
                          <w:t xml:space="preserve">  </w:t>
                        </w:r>
                        <w:r w:rsidR="00111868">
                          <w:rPr>
                            <w:rFonts w:ascii="Calibri" w:hAnsi="Calibri" w:cs="Calibri"/>
                            <w:color w:val="000000"/>
                          </w:rPr>
                          <w:t xml:space="preserve">                  </w:t>
                        </w:r>
                        <w:r w:rsidR="003476BB" w:rsidRPr="003476BB">
                          <w:rPr>
                            <w:rFonts w:ascii="Calibri" w:hAnsi="Calibri" w:cs="Calibri"/>
                            <w:color w:val="000000"/>
                          </w:rPr>
                          <w:t xml:space="preserve"> la</w:t>
                        </w:r>
                        <w:r w:rsidR="00EB7FC7">
                          <w:rPr>
                            <w:rFonts w:ascii="Calibri" w:hAnsi="Calibri" w:cs="Calibri"/>
                            <w:color w:val="000000"/>
                          </w:rPr>
                          <w:t xml:space="preserve">      </w:t>
                        </w:r>
                        <w:r w:rsidR="00111868">
                          <w:rPr>
                            <w:rFonts w:ascii="Calibri" w:hAnsi="Calibri" w:cs="Calibri"/>
                            <w:color w:val="000000"/>
                          </w:rPr>
                          <w:t xml:space="preserve">    </w:t>
                        </w:r>
                        <w:r w:rsidR="00EB7FC7">
                          <w:rPr>
                            <w:rFonts w:ascii="Calibri" w:hAnsi="Calibri" w:cs="Calibri"/>
                            <w:color w:val="000000"/>
                          </w:rPr>
                          <w:t xml:space="preserve"> </w:t>
                        </w:r>
                      </w:p>
                      <w:p w:rsidR="003476BB" w:rsidRDefault="00111868" w:rsidP="003476BB">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Institución la </w:t>
                        </w:r>
                        <w:r w:rsidR="003476BB" w:rsidRPr="003476BB">
                          <w:rPr>
                            <w:rFonts w:ascii="Calibri" w:hAnsi="Calibri" w:cs="Calibri"/>
                            <w:color w:val="000000"/>
                          </w:rPr>
                          <w:t>cantidad de: $290,160.00 ( Doscientos noventa mil ciento sesenta pesos 00/100 MN), por</w:t>
                        </w:r>
                      </w:p>
                      <w:p w:rsidR="003476BB" w:rsidRDefault="003476BB" w:rsidP="003476BB">
                        <w:pPr>
                          <w:autoSpaceDE w:val="0"/>
                          <w:autoSpaceDN w:val="0"/>
                          <w:adjustRightInd w:val="0"/>
                          <w:spacing w:after="0" w:line="240" w:lineRule="auto"/>
                          <w:jc w:val="both"/>
                          <w:rPr>
                            <w:rFonts w:ascii="Calibri" w:hAnsi="Calibri" w:cs="Calibri"/>
                            <w:color w:val="000000"/>
                          </w:rPr>
                        </w:pPr>
                        <w:proofErr w:type="gramStart"/>
                        <w:r w:rsidRPr="003476BB">
                          <w:rPr>
                            <w:rFonts w:ascii="Calibri" w:hAnsi="Calibri" w:cs="Calibri"/>
                            <w:color w:val="000000"/>
                          </w:rPr>
                          <w:t>concepto</w:t>
                        </w:r>
                        <w:proofErr w:type="gramEnd"/>
                        <w:r w:rsidRPr="003476BB">
                          <w:rPr>
                            <w:rFonts w:ascii="Calibri" w:hAnsi="Calibri" w:cs="Calibri"/>
                            <w:color w:val="000000"/>
                          </w:rPr>
                          <w:t xml:space="preserve"> </w:t>
                        </w:r>
                        <w:r w:rsidR="007A616A">
                          <w:rPr>
                            <w:rFonts w:ascii="Calibri" w:hAnsi="Calibri" w:cs="Calibri"/>
                            <w:color w:val="000000"/>
                          </w:rPr>
                          <w:t xml:space="preserve"> de</w:t>
                        </w:r>
                        <w:r w:rsidR="00EB7FC7">
                          <w:rPr>
                            <w:rFonts w:ascii="Calibri" w:hAnsi="Calibri" w:cs="Calibri"/>
                            <w:color w:val="000000"/>
                          </w:rPr>
                          <w:t xml:space="preserve"> Refrendos vehiculares del mes diciembre de</w:t>
                        </w:r>
                        <w:r w:rsidRPr="003476BB">
                          <w:rPr>
                            <w:rFonts w:ascii="Calibri" w:hAnsi="Calibri" w:cs="Calibri"/>
                            <w:color w:val="000000"/>
                          </w:rPr>
                          <w:t xml:space="preserve"> 2018</w:t>
                        </w:r>
                        <w:r>
                          <w:rPr>
                            <w:rFonts w:ascii="Calibri" w:hAnsi="Calibri" w:cs="Calibri"/>
                            <w:color w:val="000000"/>
                          </w:rPr>
                          <w:t>.</w:t>
                        </w:r>
                      </w:p>
                      <w:p w:rsidR="003476BB" w:rsidRDefault="003476BB" w:rsidP="003476BB">
                        <w:pPr>
                          <w:autoSpaceDE w:val="0"/>
                          <w:autoSpaceDN w:val="0"/>
                          <w:adjustRightInd w:val="0"/>
                          <w:spacing w:after="0" w:line="240" w:lineRule="auto"/>
                          <w:jc w:val="both"/>
                          <w:rPr>
                            <w:rFonts w:ascii="Calibri" w:hAnsi="Calibri" w:cs="Calibri"/>
                            <w:color w:val="000000"/>
                          </w:rPr>
                        </w:pPr>
                      </w:p>
                      <w:p w:rsidR="00EB7FC7" w:rsidRDefault="003476BB" w:rsidP="00777EBA">
                        <w:pPr>
                          <w:autoSpaceDE w:val="0"/>
                          <w:autoSpaceDN w:val="0"/>
                          <w:adjustRightInd w:val="0"/>
                          <w:spacing w:after="0" w:line="240" w:lineRule="auto"/>
                          <w:ind w:right="-51"/>
                          <w:jc w:val="both"/>
                          <w:rPr>
                            <w:rFonts w:ascii="Calibri" w:hAnsi="Calibri" w:cs="Calibri"/>
                            <w:bCs/>
                            <w:color w:val="000000"/>
                          </w:rPr>
                        </w:pPr>
                        <w:r w:rsidRPr="00777EBA">
                          <w:rPr>
                            <w:rFonts w:ascii="Calibri" w:hAnsi="Calibri" w:cs="Calibri"/>
                            <w:b/>
                            <w:color w:val="000000"/>
                          </w:rPr>
                          <w:t>16.- Partes relacionadas</w:t>
                        </w:r>
                        <w:r>
                          <w:rPr>
                            <w:rFonts w:ascii="Calibri" w:hAnsi="Calibri" w:cs="Calibri"/>
                            <w:color w:val="000000"/>
                          </w:rPr>
                          <w:t>.</w:t>
                        </w:r>
                        <w:r w:rsidRPr="003476BB">
                          <w:rPr>
                            <w:rFonts w:ascii="Calibri" w:hAnsi="Calibri" w:cs="Calibri"/>
                            <w:bCs/>
                            <w:color w:val="000000"/>
                          </w:rPr>
                          <w:t xml:space="preserve">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El Hogar Cabañas para la adquisición de bienes muebles y  de consumo</w:t>
                        </w:r>
                        <w:r w:rsidR="00EB7FC7">
                          <w:rPr>
                            <w:rFonts w:ascii="Calibri" w:hAnsi="Calibri" w:cs="Calibri"/>
                            <w:bCs/>
                            <w:color w:val="000000"/>
                          </w:rPr>
                          <w:t xml:space="preserve">   </w:t>
                        </w:r>
                        <w:r w:rsidRPr="003476BB">
                          <w:rPr>
                            <w:rFonts w:ascii="Calibri" w:hAnsi="Calibri" w:cs="Calibri"/>
                            <w:bCs/>
                            <w:color w:val="000000"/>
                          </w:rPr>
                          <w:t xml:space="preserve"> no </w:t>
                        </w:r>
                        <w:r w:rsidR="00EB7FC7">
                          <w:rPr>
                            <w:rFonts w:ascii="Calibri" w:hAnsi="Calibri" w:cs="Calibri"/>
                            <w:bCs/>
                            <w:color w:val="000000"/>
                          </w:rPr>
                          <w:t xml:space="preserve">           </w:t>
                        </w:r>
                        <w:r w:rsidRPr="003476BB">
                          <w:rPr>
                            <w:rFonts w:ascii="Calibri" w:hAnsi="Calibri" w:cs="Calibri"/>
                            <w:bCs/>
                            <w:color w:val="000000"/>
                          </w:rPr>
                          <w:t xml:space="preserve">cuenta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con partes relacionadas que pudieran ejercer influencia sobre la</w:t>
                        </w:r>
                        <w:r w:rsidR="00EB7FC7">
                          <w:rPr>
                            <w:rFonts w:ascii="Calibri" w:hAnsi="Calibri" w:cs="Calibri"/>
                            <w:bCs/>
                            <w:color w:val="000000"/>
                          </w:rPr>
                          <w:t xml:space="preserve"> </w:t>
                        </w:r>
                        <w:r w:rsidRPr="003476BB">
                          <w:rPr>
                            <w:rFonts w:ascii="Calibri" w:hAnsi="Calibri" w:cs="Calibri"/>
                            <w:bCs/>
                            <w:color w:val="000000"/>
                          </w:rPr>
                          <w:t>toma de</w:t>
                        </w:r>
                        <w:r w:rsidR="00EB7FC7">
                          <w:rPr>
                            <w:rFonts w:ascii="Calibri" w:hAnsi="Calibri" w:cs="Calibri"/>
                            <w:bCs/>
                            <w:color w:val="000000"/>
                          </w:rPr>
                          <w:t xml:space="preserve">         </w:t>
                        </w:r>
                        <w:r w:rsidRPr="003476BB">
                          <w:rPr>
                            <w:rFonts w:ascii="Calibri" w:hAnsi="Calibri" w:cs="Calibri"/>
                            <w:bCs/>
                            <w:color w:val="000000"/>
                          </w:rPr>
                          <w:t xml:space="preserve"> decisiones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financieras y operativas, ya que las adquisiciones fueron llevadas a cabo de acuerdo a</w:t>
                        </w:r>
                        <w:r w:rsidR="00EB7FC7">
                          <w:rPr>
                            <w:rFonts w:ascii="Calibri" w:hAnsi="Calibri" w:cs="Calibri"/>
                            <w:bCs/>
                            <w:color w:val="000000"/>
                          </w:rPr>
                          <w:t xml:space="preserve">  </w:t>
                        </w:r>
                        <w:r w:rsidRPr="003476BB">
                          <w:rPr>
                            <w:rFonts w:ascii="Calibri" w:hAnsi="Calibri" w:cs="Calibri"/>
                            <w:bCs/>
                            <w:color w:val="000000"/>
                          </w:rPr>
                          <w:t xml:space="preserve"> la </w:t>
                        </w:r>
                        <w:r w:rsidR="00EB7FC7">
                          <w:rPr>
                            <w:rFonts w:ascii="Calibri" w:hAnsi="Calibri" w:cs="Calibri"/>
                            <w:bCs/>
                            <w:color w:val="000000"/>
                          </w:rPr>
                          <w:t xml:space="preserve">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normativa de la Ley de compras Gubernamentales,</w:t>
                        </w:r>
                        <w:r w:rsidR="00EB7FC7">
                          <w:rPr>
                            <w:rFonts w:ascii="Calibri" w:hAnsi="Calibri" w:cs="Calibri"/>
                            <w:bCs/>
                            <w:color w:val="000000"/>
                          </w:rPr>
                          <w:t xml:space="preserve"> </w:t>
                        </w:r>
                        <w:r w:rsidRPr="003476BB">
                          <w:rPr>
                            <w:rFonts w:ascii="Calibri" w:hAnsi="Calibri" w:cs="Calibri"/>
                            <w:bCs/>
                            <w:color w:val="000000"/>
                          </w:rPr>
                          <w:t xml:space="preserve">enajenaciones y arrendamientos </w:t>
                        </w:r>
                        <w:r w:rsidR="00EB7FC7">
                          <w:rPr>
                            <w:rFonts w:ascii="Calibri" w:hAnsi="Calibri" w:cs="Calibri"/>
                            <w:bCs/>
                            <w:color w:val="000000"/>
                          </w:rPr>
                          <w:t xml:space="preserve">  </w:t>
                        </w:r>
                        <w:r w:rsidRPr="003476BB">
                          <w:rPr>
                            <w:rFonts w:ascii="Calibri" w:hAnsi="Calibri" w:cs="Calibri"/>
                            <w:bCs/>
                            <w:color w:val="000000"/>
                          </w:rPr>
                          <w:t xml:space="preserve">del </w:t>
                        </w:r>
                      </w:p>
                      <w:p w:rsidR="00EB7FC7" w:rsidRDefault="003476BB" w:rsidP="00EB7FC7">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Gobierno del Estado de Jalisco y su reglamento, el cual</w:t>
                        </w:r>
                        <w:r w:rsidR="00EB7FC7">
                          <w:rPr>
                            <w:rFonts w:ascii="Calibri" w:hAnsi="Calibri" w:cs="Calibri"/>
                            <w:bCs/>
                            <w:color w:val="000000"/>
                          </w:rPr>
                          <w:t xml:space="preserve"> </w:t>
                        </w:r>
                        <w:r w:rsidRPr="003476BB">
                          <w:rPr>
                            <w:rFonts w:ascii="Calibri" w:hAnsi="Calibri" w:cs="Calibri"/>
                            <w:bCs/>
                            <w:color w:val="000000"/>
                          </w:rPr>
                          <w:t>obliga a</w:t>
                        </w:r>
                        <w:r w:rsidR="00EB7FC7">
                          <w:rPr>
                            <w:rFonts w:ascii="Calibri" w:hAnsi="Calibri" w:cs="Calibri"/>
                            <w:bCs/>
                            <w:color w:val="000000"/>
                          </w:rPr>
                          <w:t xml:space="preserve">      </w:t>
                        </w:r>
                        <w:r w:rsidRPr="003476BB">
                          <w:rPr>
                            <w:rFonts w:ascii="Calibri" w:hAnsi="Calibri" w:cs="Calibri"/>
                            <w:bCs/>
                            <w:color w:val="000000"/>
                          </w:rPr>
                          <w:t xml:space="preserve"> l</w:t>
                        </w:r>
                        <w:r w:rsidR="00EB7FC7">
                          <w:rPr>
                            <w:rFonts w:ascii="Calibri" w:hAnsi="Calibri" w:cs="Calibri"/>
                            <w:bCs/>
                            <w:color w:val="000000"/>
                          </w:rPr>
                          <w:t xml:space="preserve">a            </w:t>
                        </w:r>
                        <w:r w:rsidRPr="003476BB">
                          <w:rPr>
                            <w:rFonts w:ascii="Calibri" w:hAnsi="Calibri" w:cs="Calibri"/>
                            <w:bCs/>
                            <w:color w:val="000000"/>
                          </w:rPr>
                          <w:t xml:space="preserve">realización de </w:t>
                        </w:r>
                        <w:r w:rsidR="00EB7FC7">
                          <w:rPr>
                            <w:rFonts w:ascii="Calibri" w:hAnsi="Calibri" w:cs="Calibri"/>
                            <w:bCs/>
                            <w:color w:val="000000"/>
                          </w:rPr>
                          <w:t xml:space="preserve"> </w:t>
                        </w:r>
                      </w:p>
                      <w:p w:rsidR="00BC1445" w:rsidRDefault="003476BB" w:rsidP="00BC1445">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Licitaciones Públicas avaladas por el Comité de adquisiciones, mismo que fue formado por</w:t>
                        </w:r>
                      </w:p>
                      <w:p w:rsidR="00BC1445" w:rsidRDefault="003476BB" w:rsidP="00BC1445">
                        <w:pPr>
                          <w:autoSpaceDE w:val="0"/>
                          <w:autoSpaceDN w:val="0"/>
                          <w:adjustRightInd w:val="0"/>
                          <w:spacing w:after="0" w:line="240" w:lineRule="auto"/>
                          <w:ind w:right="-51"/>
                          <w:jc w:val="both"/>
                          <w:rPr>
                            <w:rFonts w:ascii="Calibri" w:hAnsi="Calibri" w:cs="Calibri"/>
                            <w:bCs/>
                            <w:color w:val="000000"/>
                          </w:rPr>
                        </w:pPr>
                        <w:proofErr w:type="gramStart"/>
                        <w:r w:rsidRPr="003476BB">
                          <w:rPr>
                            <w:rFonts w:ascii="Calibri" w:hAnsi="Calibri" w:cs="Calibri"/>
                            <w:bCs/>
                            <w:color w:val="000000"/>
                          </w:rPr>
                          <w:t>personas</w:t>
                        </w:r>
                        <w:proofErr w:type="gramEnd"/>
                        <w:r w:rsidRPr="003476BB">
                          <w:rPr>
                            <w:rFonts w:ascii="Calibri" w:hAnsi="Calibri" w:cs="Calibri"/>
                            <w:bCs/>
                            <w:color w:val="000000"/>
                          </w:rPr>
                          <w:t xml:space="preserve"> de la sociedad civil, del Gobierno Central y del propio Hogar Cabañas.</w:t>
                        </w:r>
                      </w:p>
                      <w:p w:rsidR="00BC1445" w:rsidRDefault="00BC1445" w:rsidP="00BC1445">
                        <w:pPr>
                          <w:autoSpaceDE w:val="0"/>
                          <w:autoSpaceDN w:val="0"/>
                          <w:adjustRightInd w:val="0"/>
                          <w:spacing w:after="0" w:line="240" w:lineRule="auto"/>
                          <w:ind w:right="-51"/>
                          <w:jc w:val="both"/>
                          <w:rPr>
                            <w:rFonts w:ascii="Calibri" w:hAnsi="Calibri" w:cs="Calibri"/>
                            <w:bCs/>
                            <w:color w:val="000000"/>
                          </w:rPr>
                        </w:pPr>
                      </w:p>
                      <w:p w:rsidR="003476BB" w:rsidRDefault="003476BB" w:rsidP="00BC1445">
                        <w:pPr>
                          <w:autoSpaceDE w:val="0"/>
                          <w:autoSpaceDN w:val="0"/>
                          <w:adjustRightInd w:val="0"/>
                          <w:spacing w:after="0" w:line="240" w:lineRule="auto"/>
                          <w:ind w:right="-51"/>
                          <w:jc w:val="both"/>
                          <w:rPr>
                            <w:rFonts w:ascii="Calibri" w:hAnsi="Calibri" w:cs="Calibri"/>
                            <w:bCs/>
                            <w:color w:val="000000"/>
                          </w:rPr>
                        </w:pPr>
                        <w:r w:rsidRPr="003476BB">
                          <w:rPr>
                            <w:rFonts w:ascii="Calibri" w:hAnsi="Calibri" w:cs="Calibri"/>
                            <w:bCs/>
                            <w:color w:val="000000"/>
                          </w:rPr>
                          <w:t>De igual forma no existieron partes relacionadas en la toma de decisiones operativas.</w:t>
                        </w:r>
                      </w:p>
                      <w:p w:rsidR="003476BB" w:rsidRDefault="003476BB" w:rsidP="003476BB">
                        <w:pPr>
                          <w:autoSpaceDE w:val="0"/>
                          <w:autoSpaceDN w:val="0"/>
                          <w:adjustRightInd w:val="0"/>
                          <w:spacing w:after="0" w:line="240" w:lineRule="auto"/>
                          <w:jc w:val="both"/>
                          <w:rPr>
                            <w:rFonts w:ascii="Calibri" w:hAnsi="Calibri" w:cs="Calibri"/>
                            <w:bCs/>
                            <w:color w:val="000000"/>
                          </w:rPr>
                        </w:pPr>
                      </w:p>
                      <w:p w:rsidR="00561E15" w:rsidRDefault="003476BB" w:rsidP="003476BB">
                        <w:pPr>
                          <w:autoSpaceDE w:val="0"/>
                          <w:autoSpaceDN w:val="0"/>
                          <w:adjustRightInd w:val="0"/>
                          <w:spacing w:after="0" w:line="240" w:lineRule="auto"/>
                          <w:jc w:val="both"/>
                          <w:rPr>
                            <w:rFonts w:ascii="Calibri" w:hAnsi="Calibri" w:cs="Calibri"/>
                            <w:b/>
                            <w:bCs/>
                            <w:color w:val="000000"/>
                          </w:rPr>
                        </w:pPr>
                        <w:r w:rsidRPr="003476BB">
                          <w:rPr>
                            <w:rFonts w:ascii="Calibri" w:hAnsi="Calibri" w:cs="Calibri"/>
                            <w:b/>
                            <w:bCs/>
                            <w:color w:val="000000"/>
                          </w:rPr>
                          <w:t>17.-Responsibilidad sobre la presentación razonable de la información contable.</w:t>
                        </w:r>
                      </w:p>
                      <w:p w:rsidR="003476BB"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 xml:space="preserve"> Declaramos bajo protesta de decir verdad que los Estados Financieros y sus notas son</w:t>
                        </w:r>
                      </w:p>
                      <w:p w:rsidR="003476BB" w:rsidRDefault="003476BB" w:rsidP="003476BB">
                        <w:pPr>
                          <w:autoSpaceDE w:val="0"/>
                          <w:autoSpaceDN w:val="0"/>
                          <w:adjustRightInd w:val="0"/>
                          <w:spacing w:after="0" w:line="240" w:lineRule="auto"/>
                          <w:jc w:val="both"/>
                          <w:rPr>
                            <w:rFonts w:ascii="Calibri" w:hAnsi="Calibri" w:cs="Calibri"/>
                            <w:color w:val="000000"/>
                          </w:rPr>
                        </w:pPr>
                        <w:r w:rsidRPr="003476BB">
                          <w:rPr>
                            <w:rFonts w:ascii="Calibri" w:hAnsi="Calibri" w:cs="Calibri"/>
                            <w:color w:val="000000"/>
                          </w:rPr>
                          <w:t xml:space="preserve"> </w:t>
                        </w:r>
                        <w:proofErr w:type="gramStart"/>
                        <w:r w:rsidRPr="003476BB">
                          <w:rPr>
                            <w:rFonts w:ascii="Calibri" w:hAnsi="Calibri" w:cs="Calibri"/>
                            <w:color w:val="000000"/>
                          </w:rPr>
                          <w:t>razonablemente</w:t>
                        </w:r>
                        <w:proofErr w:type="gramEnd"/>
                        <w:r w:rsidRPr="003476BB">
                          <w:rPr>
                            <w:rFonts w:ascii="Calibri" w:hAnsi="Calibri" w:cs="Calibri"/>
                            <w:color w:val="000000"/>
                          </w:rPr>
                          <w:t xml:space="preserve"> correctos y son responsabilidad del emisor.</w:t>
                        </w: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Default="00022F34" w:rsidP="003476BB">
                        <w:pPr>
                          <w:autoSpaceDE w:val="0"/>
                          <w:autoSpaceDN w:val="0"/>
                          <w:adjustRightInd w:val="0"/>
                          <w:spacing w:after="0" w:line="240" w:lineRule="auto"/>
                          <w:jc w:val="both"/>
                          <w:rPr>
                            <w:rFonts w:ascii="Calibri" w:hAnsi="Calibri" w:cs="Calibri"/>
                            <w:color w:val="000000"/>
                          </w:rPr>
                        </w:pPr>
                      </w:p>
                      <w:p w:rsidR="00022F34" w:rsidRPr="003476BB" w:rsidRDefault="00022F34" w:rsidP="003476BB">
                        <w:pPr>
                          <w:autoSpaceDE w:val="0"/>
                          <w:autoSpaceDN w:val="0"/>
                          <w:adjustRightInd w:val="0"/>
                          <w:spacing w:after="0" w:line="240" w:lineRule="auto"/>
                          <w:jc w:val="both"/>
                          <w:rPr>
                            <w:rFonts w:ascii="Calibri" w:hAnsi="Calibri" w:cs="Calibri"/>
                            <w:color w:val="00000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43"/>
                          <w:gridCol w:w="4543"/>
                        </w:tblGrid>
                        <w:tr w:rsidR="00022F34" w:rsidTr="00022F34">
                          <w:tc>
                            <w:tcPr>
                              <w:tcW w:w="4543" w:type="dxa"/>
                            </w:tcPr>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Nombre de quien autoriza.</w:t>
                              </w:r>
                            </w:p>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Lic. Elizabeth González Gutiérrez.</w:t>
                              </w:r>
                            </w:p>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Directora General</w:t>
                              </w:r>
                            </w:p>
                            <w:p w:rsidR="00022F34" w:rsidRPr="00022F34" w:rsidRDefault="00022F34" w:rsidP="00022F34">
                              <w:pPr>
                                <w:autoSpaceDE w:val="0"/>
                                <w:autoSpaceDN w:val="0"/>
                                <w:adjustRightInd w:val="0"/>
                                <w:jc w:val="center"/>
                                <w:rPr>
                                  <w:rFonts w:ascii="Calibri" w:hAnsi="Calibri" w:cs="Calibri"/>
                                  <w:b/>
                                  <w:color w:val="000000"/>
                                </w:rPr>
                              </w:pPr>
                            </w:p>
                          </w:tc>
                          <w:tc>
                            <w:tcPr>
                              <w:tcW w:w="4543" w:type="dxa"/>
                            </w:tcPr>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Nombre de quien elabora</w:t>
                              </w:r>
                            </w:p>
                            <w:p w:rsidR="00022F34" w:rsidRPr="00022F34" w:rsidRDefault="00022F34" w:rsidP="00022F34">
                              <w:pPr>
                                <w:autoSpaceDE w:val="0"/>
                                <w:autoSpaceDN w:val="0"/>
                                <w:adjustRightInd w:val="0"/>
                                <w:jc w:val="center"/>
                                <w:rPr>
                                  <w:rFonts w:ascii="Calibri" w:hAnsi="Calibri" w:cs="Calibri"/>
                                  <w:b/>
                                  <w:color w:val="000000"/>
                                </w:rPr>
                              </w:pPr>
                              <w:r w:rsidRPr="00022F34">
                                <w:rPr>
                                  <w:rFonts w:ascii="Calibri" w:hAnsi="Calibri" w:cs="Calibri"/>
                                  <w:b/>
                                  <w:color w:val="000000"/>
                                </w:rPr>
                                <w:t>L.C.P. Gerardo Garavito Aguirre.</w:t>
                              </w:r>
                            </w:p>
                            <w:p w:rsidR="00022F34" w:rsidRPr="00022F34" w:rsidRDefault="00022F34" w:rsidP="00022F34">
                              <w:pPr>
                                <w:autoSpaceDE w:val="0"/>
                                <w:autoSpaceDN w:val="0"/>
                                <w:adjustRightInd w:val="0"/>
                                <w:jc w:val="center"/>
                                <w:rPr>
                                  <w:rFonts w:ascii="Calibri" w:hAnsi="Calibri" w:cs="Calibri"/>
                                  <w:b/>
                                  <w:bCs/>
                                  <w:color w:val="000000"/>
                                </w:rPr>
                              </w:pPr>
                              <w:r w:rsidRPr="00022F34">
                                <w:rPr>
                                  <w:rFonts w:ascii="Calibri" w:hAnsi="Calibri" w:cs="Calibri"/>
                                  <w:b/>
                                  <w:color w:val="000000"/>
                                </w:rPr>
                                <w:t>Coord. Depto. De Contabilidad.</w:t>
                              </w:r>
                            </w:p>
                            <w:p w:rsidR="00022F34" w:rsidRPr="00022F34" w:rsidRDefault="00022F34" w:rsidP="00022F34">
                              <w:pPr>
                                <w:autoSpaceDE w:val="0"/>
                                <w:autoSpaceDN w:val="0"/>
                                <w:adjustRightInd w:val="0"/>
                                <w:jc w:val="center"/>
                                <w:rPr>
                                  <w:rFonts w:ascii="Calibri" w:hAnsi="Calibri" w:cs="Calibri"/>
                                  <w:b/>
                                  <w:color w:val="000000"/>
                                </w:rPr>
                              </w:pPr>
                            </w:p>
                          </w:tc>
                        </w:tr>
                      </w:tbl>
                      <w:p w:rsidR="007A616A" w:rsidRDefault="007A616A" w:rsidP="003476BB">
                        <w:pPr>
                          <w:autoSpaceDE w:val="0"/>
                          <w:autoSpaceDN w:val="0"/>
                          <w:adjustRightInd w:val="0"/>
                          <w:spacing w:after="0" w:line="240" w:lineRule="auto"/>
                          <w:jc w:val="center"/>
                          <w:rPr>
                            <w:rFonts w:ascii="Calibri" w:hAnsi="Calibri" w:cs="Calibri"/>
                            <w:color w:val="000000"/>
                          </w:rPr>
                        </w:pPr>
                      </w:p>
                      <w:p w:rsidR="003476BB" w:rsidRPr="003476BB" w:rsidRDefault="003476BB" w:rsidP="003476BB">
                        <w:pPr>
                          <w:autoSpaceDE w:val="0"/>
                          <w:autoSpaceDN w:val="0"/>
                          <w:adjustRightInd w:val="0"/>
                          <w:spacing w:after="0" w:line="240" w:lineRule="auto"/>
                          <w:jc w:val="center"/>
                          <w:rPr>
                            <w:rFonts w:ascii="Calibri" w:hAnsi="Calibri" w:cs="Calibri"/>
                            <w:color w:val="000000"/>
                          </w:rPr>
                        </w:pPr>
                      </w:p>
                      <w:p w:rsidR="003476BB" w:rsidRPr="003476BB" w:rsidRDefault="003476BB" w:rsidP="003476BB">
                        <w:pPr>
                          <w:autoSpaceDE w:val="0"/>
                          <w:autoSpaceDN w:val="0"/>
                          <w:adjustRightInd w:val="0"/>
                          <w:spacing w:after="0" w:line="240" w:lineRule="auto"/>
                          <w:jc w:val="center"/>
                          <w:rPr>
                            <w:rFonts w:ascii="Calibri" w:hAnsi="Calibri" w:cs="Calibri"/>
                            <w:color w:val="000000"/>
                          </w:rPr>
                        </w:pPr>
                      </w:p>
                      <w:p w:rsidR="003476BB" w:rsidRPr="003476BB" w:rsidRDefault="003476BB" w:rsidP="003476BB">
                        <w:pPr>
                          <w:autoSpaceDE w:val="0"/>
                          <w:autoSpaceDN w:val="0"/>
                          <w:adjustRightInd w:val="0"/>
                          <w:spacing w:after="0" w:line="240" w:lineRule="auto"/>
                          <w:rPr>
                            <w:rFonts w:ascii="Calibri" w:hAnsi="Calibri" w:cs="Calibri"/>
                            <w:b/>
                            <w:bCs/>
                            <w:color w:val="000000"/>
                          </w:rPr>
                        </w:pPr>
                      </w:p>
                      <w:p w:rsidR="003476BB" w:rsidRPr="003476BB" w:rsidRDefault="003476BB" w:rsidP="003476BB">
                        <w:pPr>
                          <w:autoSpaceDE w:val="0"/>
                          <w:autoSpaceDN w:val="0"/>
                          <w:adjustRightInd w:val="0"/>
                          <w:spacing w:after="0" w:line="240" w:lineRule="auto"/>
                          <w:jc w:val="both"/>
                          <w:rPr>
                            <w:rFonts w:ascii="Calibri" w:hAnsi="Calibri" w:cs="Calibri"/>
                            <w:color w:val="000000"/>
                          </w:rPr>
                        </w:pPr>
                      </w:p>
                      <w:p w:rsidR="003476BB" w:rsidRPr="003476BB" w:rsidRDefault="003476BB" w:rsidP="003476BB">
                        <w:pPr>
                          <w:autoSpaceDE w:val="0"/>
                          <w:autoSpaceDN w:val="0"/>
                          <w:adjustRightInd w:val="0"/>
                          <w:spacing w:after="0" w:line="240" w:lineRule="auto"/>
                          <w:jc w:val="both"/>
                          <w:rPr>
                            <w:rFonts w:ascii="Calibri" w:hAnsi="Calibri" w:cs="Calibri"/>
                            <w:color w:val="000000"/>
                          </w:rPr>
                        </w:pPr>
                      </w:p>
                      <w:p w:rsidR="003476BB" w:rsidRDefault="003476BB" w:rsidP="003476BB">
                        <w:pPr>
                          <w:autoSpaceDE w:val="0"/>
                          <w:autoSpaceDN w:val="0"/>
                          <w:adjustRightInd w:val="0"/>
                          <w:spacing w:after="0" w:line="240" w:lineRule="auto"/>
                          <w:jc w:val="both"/>
                          <w:rPr>
                            <w:rFonts w:ascii="Calibri" w:hAnsi="Calibri" w:cs="Calibri"/>
                            <w:color w:val="000000"/>
                          </w:rPr>
                        </w:pPr>
                      </w:p>
                    </w:tc>
                  </w:tr>
                  <w:tr w:rsidR="003476BB" w:rsidTr="000441E1">
                    <w:trPr>
                      <w:gridAfter w:val="1"/>
                      <w:wAfter w:w="4819" w:type="dxa"/>
                      <w:trHeight w:val="290"/>
                    </w:trPr>
                    <w:tc>
                      <w:tcPr>
                        <w:tcW w:w="4417" w:type="dxa"/>
                        <w:tcBorders>
                          <w:top w:val="nil"/>
                          <w:left w:val="nil"/>
                          <w:bottom w:val="nil"/>
                          <w:right w:val="nil"/>
                        </w:tcBorders>
                      </w:tcPr>
                      <w:p w:rsidR="003476BB" w:rsidRDefault="003476BB" w:rsidP="003476BB">
                        <w:pPr>
                          <w:autoSpaceDE w:val="0"/>
                          <w:autoSpaceDN w:val="0"/>
                          <w:adjustRightInd w:val="0"/>
                          <w:spacing w:after="0" w:line="240" w:lineRule="auto"/>
                          <w:rPr>
                            <w:rFonts w:ascii="Calibri" w:hAnsi="Calibri" w:cs="Calibri"/>
                            <w:b/>
                            <w:bCs/>
                            <w:color w:val="000000"/>
                          </w:rPr>
                        </w:pPr>
                      </w:p>
                    </w:tc>
                  </w:tr>
                </w:tbl>
                <w:p w:rsidR="003476BB" w:rsidRPr="003476BB" w:rsidRDefault="003476BB" w:rsidP="007E3523">
                  <w:pPr>
                    <w:autoSpaceDE w:val="0"/>
                    <w:autoSpaceDN w:val="0"/>
                    <w:adjustRightInd w:val="0"/>
                    <w:spacing w:after="0" w:line="240" w:lineRule="auto"/>
                    <w:jc w:val="both"/>
                    <w:rPr>
                      <w:rFonts w:ascii="Calibri" w:hAnsi="Calibri" w:cs="Calibri"/>
                      <w:b/>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Default="004E1911" w:rsidP="007E3523">
                  <w:pPr>
                    <w:autoSpaceDE w:val="0"/>
                    <w:autoSpaceDN w:val="0"/>
                    <w:adjustRightInd w:val="0"/>
                    <w:spacing w:after="0" w:line="240" w:lineRule="auto"/>
                    <w:jc w:val="both"/>
                    <w:rPr>
                      <w:rFonts w:ascii="Calibri" w:hAnsi="Calibri" w:cs="Calibri"/>
                      <w:color w:val="000000"/>
                    </w:rPr>
                  </w:pPr>
                </w:p>
                <w:p w:rsidR="004E1911" w:rsidRPr="007E3523" w:rsidRDefault="004E1911" w:rsidP="007E3523">
                  <w:pPr>
                    <w:autoSpaceDE w:val="0"/>
                    <w:autoSpaceDN w:val="0"/>
                    <w:adjustRightInd w:val="0"/>
                    <w:spacing w:after="0" w:line="240" w:lineRule="auto"/>
                    <w:jc w:val="both"/>
                    <w:rPr>
                      <w:rFonts w:ascii="Calibri" w:hAnsi="Calibri" w:cs="Calibri"/>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c>
                <w:tcPr>
                  <w:tcW w:w="2949" w:type="dxa"/>
                </w:tcPr>
                <w:p w:rsidR="007E3523" w:rsidRPr="007E3523" w:rsidRDefault="007E3523" w:rsidP="007E3523">
                  <w:pPr>
                    <w:autoSpaceDE w:val="0"/>
                    <w:autoSpaceDN w:val="0"/>
                    <w:adjustRightInd w:val="0"/>
                    <w:spacing w:after="0" w:line="240" w:lineRule="auto"/>
                    <w:jc w:val="right"/>
                    <w:rPr>
                      <w:rFonts w:ascii="Calibri" w:hAnsi="Calibri" w:cs="Calibri"/>
                      <w:color w:val="000000"/>
                    </w:rPr>
                  </w:pPr>
                </w:p>
              </w:tc>
            </w:tr>
          </w:tbl>
          <w:p w:rsidR="00D06559" w:rsidRPr="007E3523" w:rsidRDefault="00D06559" w:rsidP="00AD1DCF">
            <w:pPr>
              <w:autoSpaceDE w:val="0"/>
              <w:autoSpaceDN w:val="0"/>
              <w:adjustRightInd w:val="0"/>
              <w:spacing w:after="0" w:line="240" w:lineRule="auto"/>
              <w:jc w:val="both"/>
              <w:rPr>
                <w:rFonts w:ascii="Calibri" w:hAnsi="Calibri" w:cs="Calibri"/>
                <w:b/>
                <w:bCs/>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D06559" w:rsidRPr="002E7325" w:rsidRDefault="00D06559" w:rsidP="00AD1DCF">
            <w:pPr>
              <w:autoSpaceDE w:val="0"/>
              <w:autoSpaceDN w:val="0"/>
              <w:adjustRightInd w:val="0"/>
              <w:spacing w:after="0" w:line="240" w:lineRule="auto"/>
              <w:jc w:val="both"/>
              <w:rPr>
                <w:rFonts w:ascii="Calibri" w:hAnsi="Calibri" w:cs="Calibri"/>
                <w:color w:val="000000"/>
              </w:rPr>
            </w:pPr>
          </w:p>
        </w:tc>
      </w:tr>
      <w:tr w:rsidR="00C85CAF" w:rsidTr="00AB3902">
        <w:trPr>
          <w:gridAfter w:val="6"/>
          <w:wAfter w:w="8294" w:type="dxa"/>
          <w:trHeight w:val="290"/>
        </w:trPr>
        <w:tc>
          <w:tcPr>
            <w:tcW w:w="1656" w:type="dxa"/>
            <w:tcBorders>
              <w:top w:val="nil"/>
              <w:left w:val="nil"/>
              <w:bottom w:val="nil"/>
              <w:right w:val="nil"/>
            </w:tcBorders>
          </w:tcPr>
          <w:p w:rsidR="00C85CAF" w:rsidRDefault="004E1911" w:rsidP="00C42F21">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w:t>
            </w: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both"/>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AD1DCF" w:rsidRPr="002E7325" w:rsidRDefault="00AD1DCF" w:rsidP="002E7325">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C85CAF" w:rsidRDefault="00C85CAF" w:rsidP="006E6608">
            <w:pPr>
              <w:autoSpaceDE w:val="0"/>
              <w:autoSpaceDN w:val="0"/>
              <w:adjustRightInd w:val="0"/>
              <w:spacing w:after="0" w:line="240" w:lineRule="auto"/>
              <w:ind w:left="-871"/>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b/>
                <w:bCs/>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C85CAF" w:rsidTr="00AB3902">
        <w:trPr>
          <w:gridAfter w:val="3"/>
          <w:wAfter w:w="3877" w:type="dxa"/>
          <w:trHeight w:val="290"/>
        </w:trPr>
        <w:tc>
          <w:tcPr>
            <w:tcW w:w="8717" w:type="dxa"/>
            <w:gridSpan w:val="6"/>
            <w:tcBorders>
              <w:top w:val="nil"/>
              <w:left w:val="nil"/>
              <w:bottom w:val="nil"/>
              <w:right w:val="nil"/>
            </w:tcBorders>
          </w:tcPr>
          <w:p w:rsidR="00C85CAF" w:rsidRDefault="00C85CAF" w:rsidP="007D0755">
            <w:pPr>
              <w:autoSpaceDE w:val="0"/>
              <w:autoSpaceDN w:val="0"/>
              <w:adjustRightInd w:val="0"/>
              <w:spacing w:after="0" w:line="240" w:lineRule="auto"/>
              <w:jc w:val="both"/>
              <w:rPr>
                <w:rFonts w:ascii="Calibri" w:hAnsi="Calibri" w:cs="Calibri"/>
                <w:color w:val="000000"/>
              </w:rPr>
            </w:pPr>
          </w:p>
        </w:tc>
      </w:tr>
      <w:tr w:rsidR="00C85CAF" w:rsidTr="00AB3902">
        <w:trPr>
          <w:gridAfter w:val="3"/>
          <w:wAfter w:w="3877" w:type="dxa"/>
          <w:trHeight w:val="290"/>
        </w:trPr>
        <w:tc>
          <w:tcPr>
            <w:tcW w:w="4203" w:type="dxa"/>
            <w:gridSpan w:val="2"/>
            <w:tcBorders>
              <w:top w:val="nil"/>
              <w:left w:val="nil"/>
              <w:bottom w:val="nil"/>
              <w:right w:val="nil"/>
            </w:tcBorders>
          </w:tcPr>
          <w:p w:rsidR="00C85CAF" w:rsidRDefault="00C85CAF" w:rsidP="00107AA4">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C85CAF" w:rsidRDefault="00C85CAF"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1"/>
          <w:wAfter w:w="1510" w:type="dxa"/>
          <w:trHeight w:val="290"/>
        </w:trPr>
        <w:tc>
          <w:tcPr>
            <w:tcW w:w="9214" w:type="dxa"/>
            <w:gridSpan w:val="7"/>
            <w:tcBorders>
              <w:top w:val="nil"/>
              <w:left w:val="nil"/>
              <w:bottom w:val="nil"/>
              <w:right w:val="nil"/>
            </w:tcBorders>
          </w:tcPr>
          <w:p w:rsidR="00450711" w:rsidRPr="007D0755" w:rsidRDefault="00450711" w:rsidP="007D0755">
            <w:pPr>
              <w:autoSpaceDE w:val="0"/>
              <w:autoSpaceDN w:val="0"/>
              <w:adjustRightInd w:val="0"/>
              <w:spacing w:after="0" w:line="240" w:lineRule="auto"/>
              <w:jc w:val="both"/>
              <w:rPr>
                <w:rFonts w:ascii="Calibri" w:hAnsi="Calibri" w:cs="Calibri"/>
                <w:color w:val="000000"/>
                <w:highlight w:val="yellow"/>
              </w:rPr>
            </w:pPr>
          </w:p>
        </w:tc>
        <w:tc>
          <w:tcPr>
            <w:tcW w:w="1870" w:type="dxa"/>
            <w:tcBorders>
              <w:top w:val="nil"/>
              <w:left w:val="nil"/>
              <w:bottom w:val="nil"/>
              <w:right w:val="nil"/>
            </w:tcBorders>
          </w:tcPr>
          <w:p w:rsidR="00450711" w:rsidRDefault="00450711"/>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1"/>
          <w:wAfter w:w="1510" w:type="dxa"/>
          <w:trHeight w:val="290"/>
        </w:trPr>
        <w:tc>
          <w:tcPr>
            <w:tcW w:w="9214" w:type="dxa"/>
            <w:gridSpan w:val="7"/>
            <w:tcBorders>
              <w:top w:val="nil"/>
              <w:left w:val="nil"/>
              <w:bottom w:val="nil"/>
              <w:right w:val="nil"/>
            </w:tcBorders>
          </w:tcPr>
          <w:p w:rsidR="00450711" w:rsidRDefault="00450711" w:rsidP="00107AA4">
            <w:pPr>
              <w:autoSpaceDE w:val="0"/>
              <w:autoSpaceDN w:val="0"/>
              <w:adjustRightInd w:val="0"/>
              <w:spacing w:after="0" w:line="240" w:lineRule="auto"/>
              <w:jc w:val="both"/>
              <w:rPr>
                <w:rFonts w:ascii="Calibri" w:hAnsi="Calibri" w:cs="Calibri"/>
                <w:color w:val="000000"/>
              </w:rPr>
            </w:pPr>
          </w:p>
        </w:tc>
        <w:tc>
          <w:tcPr>
            <w:tcW w:w="1870" w:type="dxa"/>
            <w:tcBorders>
              <w:top w:val="nil"/>
              <w:left w:val="nil"/>
              <w:bottom w:val="nil"/>
              <w:right w:val="nil"/>
            </w:tcBorders>
          </w:tcPr>
          <w:p w:rsidR="00450711" w:rsidRDefault="00450711"/>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b/>
                <w:bCs/>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141"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9214" w:type="dxa"/>
            <w:gridSpan w:val="7"/>
            <w:tcBorders>
              <w:top w:val="nil"/>
              <w:left w:val="nil"/>
              <w:bottom w:val="nil"/>
              <w:right w:val="nil"/>
            </w:tcBorders>
          </w:tcPr>
          <w:p w:rsidR="00450711" w:rsidRDefault="00450711" w:rsidP="004539F0">
            <w:pPr>
              <w:autoSpaceDE w:val="0"/>
              <w:autoSpaceDN w:val="0"/>
              <w:adjustRightInd w:val="0"/>
              <w:spacing w:after="0" w:line="240" w:lineRule="auto"/>
              <w:jc w:val="both"/>
              <w:rPr>
                <w:rFonts w:ascii="Calibri" w:hAnsi="Calibri" w:cs="Calibri"/>
                <w:color w:val="000000"/>
              </w:rPr>
            </w:pPr>
          </w:p>
        </w:tc>
      </w:tr>
      <w:tr w:rsidR="00450711" w:rsidTr="00AB3902">
        <w:trPr>
          <w:trHeight w:val="290"/>
        </w:trPr>
        <w:tc>
          <w:tcPr>
            <w:tcW w:w="9214" w:type="dxa"/>
            <w:gridSpan w:val="7"/>
            <w:tcBorders>
              <w:top w:val="nil"/>
              <w:left w:val="nil"/>
              <w:bottom w:val="nil"/>
              <w:right w:val="nil"/>
            </w:tcBorders>
          </w:tcPr>
          <w:p w:rsidR="00450711" w:rsidRDefault="00450711" w:rsidP="004539F0">
            <w:pPr>
              <w:autoSpaceDE w:val="0"/>
              <w:autoSpaceDN w:val="0"/>
              <w:adjustRightInd w:val="0"/>
              <w:spacing w:after="0" w:line="240" w:lineRule="auto"/>
              <w:rPr>
                <w:rFonts w:ascii="Calibri" w:hAnsi="Calibri" w:cs="Calibri"/>
                <w:b/>
                <w:bCs/>
                <w:color w:val="000000"/>
              </w:rPr>
            </w:pPr>
          </w:p>
        </w:tc>
        <w:tc>
          <w:tcPr>
            <w:tcW w:w="3380" w:type="dxa"/>
            <w:gridSpan w:val="2"/>
            <w:tcBorders>
              <w:top w:val="nil"/>
              <w:left w:val="nil"/>
              <w:bottom w:val="nil"/>
              <w:right w:val="nil"/>
            </w:tcBorders>
          </w:tcPr>
          <w:p w:rsidR="00450711" w:rsidRDefault="00450711"/>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AB3902">
            <w:pPr>
              <w:autoSpaceDE w:val="0"/>
              <w:autoSpaceDN w:val="0"/>
              <w:adjustRightInd w:val="0"/>
              <w:spacing w:after="0" w:line="240" w:lineRule="auto"/>
              <w:ind w:left="-638"/>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7583" w:type="dxa"/>
            <w:gridSpan w:val="5"/>
            <w:tcBorders>
              <w:top w:val="nil"/>
              <w:left w:val="nil"/>
              <w:bottom w:val="nil"/>
              <w:right w:val="nil"/>
            </w:tcBorders>
          </w:tcPr>
          <w:p w:rsidR="00450711" w:rsidRDefault="00450711" w:rsidP="00AB3902">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color w:val="000000"/>
              </w:rPr>
            </w:pPr>
          </w:p>
        </w:tc>
      </w:tr>
      <w:tr w:rsidR="00450711" w:rsidTr="00AB3902">
        <w:trPr>
          <w:gridAfter w:val="2"/>
          <w:wAfter w:w="3380"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c>
          <w:tcPr>
            <w:tcW w:w="3380" w:type="dxa"/>
            <w:gridSpan w:val="3"/>
            <w:tcBorders>
              <w:top w:val="nil"/>
              <w:left w:val="nil"/>
              <w:bottom w:val="nil"/>
              <w:right w:val="nil"/>
            </w:tcBorders>
          </w:tcPr>
          <w:p w:rsidR="00450711" w:rsidRDefault="00450711" w:rsidP="00107AA4">
            <w:pPr>
              <w:autoSpaceDE w:val="0"/>
              <w:autoSpaceDN w:val="0"/>
              <w:adjustRightInd w:val="0"/>
              <w:spacing w:after="0" w:line="240" w:lineRule="auto"/>
              <w:jc w:val="right"/>
              <w:rPr>
                <w:rFonts w:ascii="Calibri" w:hAnsi="Calibri" w:cs="Calibri"/>
                <w:color w:val="000000"/>
              </w:rPr>
            </w:pPr>
          </w:p>
        </w:tc>
        <w:tc>
          <w:tcPr>
            <w:tcW w:w="1631" w:type="dxa"/>
            <w:gridSpan w:val="2"/>
            <w:tcBorders>
              <w:top w:val="nil"/>
              <w:left w:val="nil"/>
              <w:bottom w:val="nil"/>
              <w:right w:val="nil"/>
            </w:tcBorders>
            <w:shd w:val="solid" w:color="FFFFFF" w:fill="auto"/>
          </w:tcPr>
          <w:p w:rsidR="00450711" w:rsidRDefault="00450711" w:rsidP="00107AA4">
            <w:pPr>
              <w:autoSpaceDE w:val="0"/>
              <w:autoSpaceDN w:val="0"/>
              <w:adjustRightInd w:val="0"/>
              <w:spacing w:after="0" w:line="240" w:lineRule="auto"/>
              <w:rPr>
                <w:rFonts w:ascii="Calibri" w:hAnsi="Calibri" w:cs="Calibri"/>
                <w:color w:val="000000"/>
              </w:rPr>
            </w:pPr>
          </w:p>
        </w:tc>
      </w:tr>
      <w:tr w:rsidR="00450711" w:rsidTr="00AB3902">
        <w:trPr>
          <w:gridAfter w:val="2"/>
          <w:wAfter w:w="3380" w:type="dxa"/>
          <w:trHeight w:val="290"/>
        </w:trPr>
        <w:tc>
          <w:tcPr>
            <w:tcW w:w="9214" w:type="dxa"/>
            <w:gridSpan w:val="7"/>
            <w:tcBorders>
              <w:top w:val="nil"/>
              <w:left w:val="nil"/>
              <w:bottom w:val="nil"/>
              <w:right w:val="nil"/>
            </w:tcBorders>
            <w:shd w:val="solid" w:color="FFFFFF" w:fill="auto"/>
          </w:tcPr>
          <w:p w:rsidR="00450711" w:rsidRDefault="00450711" w:rsidP="004C7837">
            <w:pPr>
              <w:autoSpaceDE w:val="0"/>
              <w:autoSpaceDN w:val="0"/>
              <w:adjustRightInd w:val="0"/>
              <w:spacing w:after="0" w:line="240" w:lineRule="auto"/>
              <w:jc w:val="both"/>
              <w:rPr>
                <w:rFonts w:ascii="Calibri" w:hAnsi="Calibri" w:cs="Calibri"/>
                <w:color w:val="000000"/>
              </w:rPr>
            </w:pPr>
          </w:p>
        </w:tc>
      </w:tr>
      <w:tr w:rsidR="00450711" w:rsidTr="00AB3902">
        <w:trPr>
          <w:gridAfter w:val="7"/>
          <w:wAfter w:w="8391" w:type="dxa"/>
          <w:trHeight w:val="290"/>
        </w:trPr>
        <w:tc>
          <w:tcPr>
            <w:tcW w:w="4203" w:type="dxa"/>
            <w:gridSpan w:val="2"/>
            <w:tcBorders>
              <w:top w:val="nil"/>
              <w:left w:val="nil"/>
              <w:bottom w:val="nil"/>
              <w:right w:val="nil"/>
            </w:tcBorders>
          </w:tcPr>
          <w:p w:rsidR="00450711" w:rsidRDefault="00450711" w:rsidP="00107AA4">
            <w:pPr>
              <w:autoSpaceDE w:val="0"/>
              <w:autoSpaceDN w:val="0"/>
              <w:adjustRightInd w:val="0"/>
              <w:spacing w:after="0" w:line="240" w:lineRule="auto"/>
              <w:rPr>
                <w:rFonts w:ascii="Calibri" w:hAnsi="Calibri" w:cs="Calibri"/>
                <w:b/>
                <w:bCs/>
                <w:color w:val="000000"/>
              </w:rPr>
            </w:pPr>
          </w:p>
        </w:tc>
      </w:tr>
      <w:tr w:rsidR="00450711" w:rsidTr="00AB3902">
        <w:trPr>
          <w:gridAfter w:val="2"/>
          <w:wAfter w:w="3380" w:type="dxa"/>
          <w:trHeight w:val="5808"/>
        </w:trPr>
        <w:tc>
          <w:tcPr>
            <w:tcW w:w="9214" w:type="dxa"/>
            <w:gridSpan w:val="7"/>
            <w:tcBorders>
              <w:top w:val="nil"/>
              <w:left w:val="nil"/>
              <w:bottom w:val="nil"/>
              <w:right w:val="nil"/>
            </w:tcBorders>
          </w:tcPr>
          <w:p w:rsidR="00450711" w:rsidRDefault="00450711" w:rsidP="00107AA4">
            <w:pPr>
              <w:autoSpaceDE w:val="0"/>
              <w:autoSpaceDN w:val="0"/>
              <w:adjustRightInd w:val="0"/>
              <w:spacing w:after="0" w:line="240" w:lineRule="auto"/>
              <w:jc w:val="both"/>
              <w:rPr>
                <w:rFonts w:ascii="Calibri" w:hAnsi="Calibri" w:cs="Calibri"/>
                <w:color w:val="000000"/>
              </w:rPr>
            </w:pPr>
          </w:p>
        </w:tc>
      </w:tr>
    </w:tbl>
    <w:p w:rsidR="00C85CAF" w:rsidRDefault="00C85CAF" w:rsidP="00C85CAF">
      <w:pPr>
        <w:tabs>
          <w:tab w:val="left" w:pos="1035"/>
        </w:tabs>
        <w:rPr>
          <w:rFonts w:ascii="Calibri" w:eastAsia="Times New Roman" w:hAnsi="Calibri" w:cs="Times New Roman"/>
          <w:lang w:eastAsia="es-MX"/>
        </w:rPr>
      </w:pPr>
    </w:p>
    <w:p w:rsidR="00C85CAF" w:rsidRPr="00BF293B" w:rsidRDefault="00C85CAF" w:rsidP="00BF293B">
      <w:pPr>
        <w:rPr>
          <w:b/>
        </w:rPr>
      </w:pPr>
    </w:p>
    <w:sectPr w:rsidR="00C85CAF" w:rsidRPr="00BF293B" w:rsidSect="00D41E0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8F7326"/>
    <w:multiLevelType w:val="hybridMultilevel"/>
    <w:tmpl w:val="83E8E60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F6F0FE3"/>
    <w:multiLevelType w:val="hybridMultilevel"/>
    <w:tmpl w:val="A90A6A0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0DA7D44"/>
    <w:multiLevelType w:val="hybridMultilevel"/>
    <w:tmpl w:val="45ECF284"/>
    <w:lvl w:ilvl="0" w:tplc="794CEEE4">
      <w:start w:val="1"/>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C597D3C"/>
    <w:multiLevelType w:val="hybridMultilevel"/>
    <w:tmpl w:val="320658B2"/>
    <w:lvl w:ilvl="0" w:tplc="080A0017">
      <w:start w:val="1"/>
      <w:numFmt w:val="low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562765A"/>
    <w:multiLevelType w:val="hybridMultilevel"/>
    <w:tmpl w:val="B7AE26F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D753E0E"/>
    <w:multiLevelType w:val="hybridMultilevel"/>
    <w:tmpl w:val="0168652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1EE50F6"/>
    <w:multiLevelType w:val="hybridMultilevel"/>
    <w:tmpl w:val="2874398A"/>
    <w:lvl w:ilvl="0" w:tplc="3666300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5B49371A"/>
    <w:multiLevelType w:val="hybridMultilevel"/>
    <w:tmpl w:val="2A14AD1E"/>
    <w:lvl w:ilvl="0" w:tplc="080A0017">
      <w:start w:val="1"/>
      <w:numFmt w:val="low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73EF5F29"/>
    <w:multiLevelType w:val="hybridMultilevel"/>
    <w:tmpl w:val="0D8E774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7905790F"/>
    <w:multiLevelType w:val="hybridMultilevel"/>
    <w:tmpl w:val="C4AEF428"/>
    <w:lvl w:ilvl="0" w:tplc="211A5150">
      <w:start w:val="1"/>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8"/>
  </w:num>
  <w:num w:numId="5">
    <w:abstractNumId w:val="0"/>
  </w:num>
  <w:num w:numId="6">
    <w:abstractNumId w:val="5"/>
  </w:num>
  <w:num w:numId="7">
    <w:abstractNumId w:val="1"/>
  </w:num>
  <w:num w:numId="8">
    <w:abstractNumId w:val="4"/>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414"/>
    <w:rsid w:val="00022F34"/>
    <w:rsid w:val="000441E1"/>
    <w:rsid w:val="00045FB8"/>
    <w:rsid w:val="00051B5B"/>
    <w:rsid w:val="00067A3D"/>
    <w:rsid w:val="00107AA4"/>
    <w:rsid w:val="00111868"/>
    <w:rsid w:val="00150043"/>
    <w:rsid w:val="001513A2"/>
    <w:rsid w:val="00191BE7"/>
    <w:rsid w:val="001A3A6D"/>
    <w:rsid w:val="001A5823"/>
    <w:rsid w:val="001E12F8"/>
    <w:rsid w:val="001F59BB"/>
    <w:rsid w:val="001F61FE"/>
    <w:rsid w:val="001F7105"/>
    <w:rsid w:val="00212FD4"/>
    <w:rsid w:val="002202A7"/>
    <w:rsid w:val="00235A0F"/>
    <w:rsid w:val="00245ECB"/>
    <w:rsid w:val="002A375E"/>
    <w:rsid w:val="002D24B3"/>
    <w:rsid w:val="002E7325"/>
    <w:rsid w:val="003066E5"/>
    <w:rsid w:val="0032365A"/>
    <w:rsid w:val="00343639"/>
    <w:rsid w:val="0034681B"/>
    <w:rsid w:val="00346D71"/>
    <w:rsid w:val="003476BB"/>
    <w:rsid w:val="00352FC2"/>
    <w:rsid w:val="003B6B0E"/>
    <w:rsid w:val="003C55A6"/>
    <w:rsid w:val="003D1079"/>
    <w:rsid w:val="003E0D5A"/>
    <w:rsid w:val="003F0EE2"/>
    <w:rsid w:val="003F455F"/>
    <w:rsid w:val="00442DF5"/>
    <w:rsid w:val="00450711"/>
    <w:rsid w:val="004539F0"/>
    <w:rsid w:val="00485140"/>
    <w:rsid w:val="004C7837"/>
    <w:rsid w:val="004E020B"/>
    <w:rsid w:val="004E1911"/>
    <w:rsid w:val="004E2CD3"/>
    <w:rsid w:val="00502153"/>
    <w:rsid w:val="00514E38"/>
    <w:rsid w:val="005177F3"/>
    <w:rsid w:val="0053534F"/>
    <w:rsid w:val="005533A9"/>
    <w:rsid w:val="00560D84"/>
    <w:rsid w:val="00561E15"/>
    <w:rsid w:val="00565068"/>
    <w:rsid w:val="00570069"/>
    <w:rsid w:val="00587835"/>
    <w:rsid w:val="00595702"/>
    <w:rsid w:val="005A633C"/>
    <w:rsid w:val="005A694A"/>
    <w:rsid w:val="005C1755"/>
    <w:rsid w:val="005C6034"/>
    <w:rsid w:val="005F5835"/>
    <w:rsid w:val="00681DCB"/>
    <w:rsid w:val="00686737"/>
    <w:rsid w:val="006B2DCC"/>
    <w:rsid w:val="006B71BE"/>
    <w:rsid w:val="006E452C"/>
    <w:rsid w:val="006E6608"/>
    <w:rsid w:val="006F057B"/>
    <w:rsid w:val="007129BA"/>
    <w:rsid w:val="00723C89"/>
    <w:rsid w:val="00744513"/>
    <w:rsid w:val="00777EBA"/>
    <w:rsid w:val="007A616A"/>
    <w:rsid w:val="007D0755"/>
    <w:rsid w:val="007E2447"/>
    <w:rsid w:val="007E3523"/>
    <w:rsid w:val="00800A91"/>
    <w:rsid w:val="00806E5C"/>
    <w:rsid w:val="008710C6"/>
    <w:rsid w:val="008A5EA2"/>
    <w:rsid w:val="008F2DC3"/>
    <w:rsid w:val="00926CCB"/>
    <w:rsid w:val="00954225"/>
    <w:rsid w:val="00966402"/>
    <w:rsid w:val="00987B66"/>
    <w:rsid w:val="009A3BFF"/>
    <w:rsid w:val="009D3F7D"/>
    <w:rsid w:val="009E18EA"/>
    <w:rsid w:val="00A15009"/>
    <w:rsid w:val="00A26B2D"/>
    <w:rsid w:val="00A503FC"/>
    <w:rsid w:val="00A51898"/>
    <w:rsid w:val="00A613A6"/>
    <w:rsid w:val="00A74473"/>
    <w:rsid w:val="00A94EFF"/>
    <w:rsid w:val="00AB3902"/>
    <w:rsid w:val="00AB4DD6"/>
    <w:rsid w:val="00AB67CE"/>
    <w:rsid w:val="00AC5DA9"/>
    <w:rsid w:val="00AD1DCF"/>
    <w:rsid w:val="00AD6538"/>
    <w:rsid w:val="00B41788"/>
    <w:rsid w:val="00B43860"/>
    <w:rsid w:val="00B43DB3"/>
    <w:rsid w:val="00B5283C"/>
    <w:rsid w:val="00B66560"/>
    <w:rsid w:val="00BC1445"/>
    <w:rsid w:val="00BC1972"/>
    <w:rsid w:val="00BE697A"/>
    <w:rsid w:val="00BF293B"/>
    <w:rsid w:val="00C15881"/>
    <w:rsid w:val="00C42F21"/>
    <w:rsid w:val="00C55BCC"/>
    <w:rsid w:val="00C85CAF"/>
    <w:rsid w:val="00C944BD"/>
    <w:rsid w:val="00C95CB4"/>
    <w:rsid w:val="00CA0DED"/>
    <w:rsid w:val="00CA4DC9"/>
    <w:rsid w:val="00CB1BBD"/>
    <w:rsid w:val="00CB21D1"/>
    <w:rsid w:val="00CD49F6"/>
    <w:rsid w:val="00CE7B43"/>
    <w:rsid w:val="00D02735"/>
    <w:rsid w:val="00D06559"/>
    <w:rsid w:val="00D21B1F"/>
    <w:rsid w:val="00D31414"/>
    <w:rsid w:val="00D41E02"/>
    <w:rsid w:val="00DA081D"/>
    <w:rsid w:val="00DA237F"/>
    <w:rsid w:val="00E215F9"/>
    <w:rsid w:val="00E520BC"/>
    <w:rsid w:val="00E7641A"/>
    <w:rsid w:val="00E911E6"/>
    <w:rsid w:val="00EA3AE1"/>
    <w:rsid w:val="00EB59F3"/>
    <w:rsid w:val="00EB7FC7"/>
    <w:rsid w:val="00EE4985"/>
    <w:rsid w:val="00F27FBF"/>
    <w:rsid w:val="00F51F93"/>
    <w:rsid w:val="00FB1EF6"/>
    <w:rsid w:val="00FB4570"/>
    <w:rsid w:val="00FE524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EFC2F-CAFF-4F5A-BAF0-EF81F51F8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1E02"/>
  </w:style>
  <w:style w:type="paragraph" w:styleId="Ttulo1">
    <w:name w:val="heading 1"/>
    <w:basedOn w:val="Normal"/>
    <w:next w:val="Normal"/>
    <w:link w:val="Ttulo1Car"/>
    <w:uiPriority w:val="9"/>
    <w:qFormat/>
    <w:rsid w:val="004E02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31414"/>
    <w:pPr>
      <w:ind w:left="720"/>
      <w:contextualSpacing/>
    </w:pPr>
  </w:style>
  <w:style w:type="paragraph" w:styleId="Sinespaciado">
    <w:name w:val="No Spacing"/>
    <w:uiPriority w:val="1"/>
    <w:qFormat/>
    <w:rsid w:val="00AB4DD6"/>
    <w:pPr>
      <w:spacing w:after="0" w:line="240" w:lineRule="auto"/>
    </w:pPr>
  </w:style>
  <w:style w:type="character" w:customStyle="1" w:styleId="Ttulo1Car">
    <w:name w:val="Título 1 Car"/>
    <w:basedOn w:val="Fuentedeprrafopredeter"/>
    <w:link w:val="Ttulo1"/>
    <w:uiPriority w:val="9"/>
    <w:rsid w:val="004E020B"/>
    <w:rPr>
      <w:rFonts w:asciiTheme="majorHAnsi" w:eastAsiaTheme="majorEastAsia" w:hAnsiTheme="majorHAnsi" w:cstheme="majorBidi"/>
      <w:color w:val="2E74B5" w:themeColor="accent1" w:themeShade="BF"/>
      <w:sz w:val="32"/>
      <w:szCs w:val="32"/>
    </w:rPr>
  </w:style>
  <w:style w:type="paragraph" w:styleId="Textodeglobo">
    <w:name w:val="Balloon Text"/>
    <w:basedOn w:val="Normal"/>
    <w:link w:val="TextodegloboCar"/>
    <w:uiPriority w:val="99"/>
    <w:semiHidden/>
    <w:unhideWhenUsed/>
    <w:rsid w:val="003E0D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E0D5A"/>
    <w:rPr>
      <w:rFonts w:ascii="Segoe UI" w:hAnsi="Segoe UI" w:cs="Segoe UI"/>
      <w:sz w:val="18"/>
      <w:szCs w:val="18"/>
    </w:rPr>
  </w:style>
  <w:style w:type="table" w:styleId="Tablaconcuadrcula">
    <w:name w:val="Table Grid"/>
    <w:basedOn w:val="Tablanormal"/>
    <w:uiPriority w:val="39"/>
    <w:rsid w:val="00022F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92615">
      <w:bodyDiv w:val="1"/>
      <w:marLeft w:val="0"/>
      <w:marRight w:val="0"/>
      <w:marTop w:val="0"/>
      <w:marBottom w:val="0"/>
      <w:divBdr>
        <w:top w:val="none" w:sz="0" w:space="0" w:color="auto"/>
        <w:left w:val="none" w:sz="0" w:space="0" w:color="auto"/>
        <w:bottom w:val="none" w:sz="0" w:space="0" w:color="auto"/>
        <w:right w:val="none" w:sz="0" w:space="0" w:color="auto"/>
      </w:divBdr>
    </w:div>
    <w:div w:id="128743469">
      <w:bodyDiv w:val="1"/>
      <w:marLeft w:val="0"/>
      <w:marRight w:val="0"/>
      <w:marTop w:val="0"/>
      <w:marBottom w:val="0"/>
      <w:divBdr>
        <w:top w:val="none" w:sz="0" w:space="0" w:color="auto"/>
        <w:left w:val="none" w:sz="0" w:space="0" w:color="auto"/>
        <w:bottom w:val="none" w:sz="0" w:space="0" w:color="auto"/>
        <w:right w:val="none" w:sz="0" w:space="0" w:color="auto"/>
      </w:divBdr>
    </w:div>
    <w:div w:id="244923440">
      <w:bodyDiv w:val="1"/>
      <w:marLeft w:val="0"/>
      <w:marRight w:val="0"/>
      <w:marTop w:val="0"/>
      <w:marBottom w:val="0"/>
      <w:divBdr>
        <w:top w:val="none" w:sz="0" w:space="0" w:color="auto"/>
        <w:left w:val="none" w:sz="0" w:space="0" w:color="auto"/>
        <w:bottom w:val="none" w:sz="0" w:space="0" w:color="auto"/>
        <w:right w:val="none" w:sz="0" w:space="0" w:color="auto"/>
      </w:divBdr>
    </w:div>
    <w:div w:id="326519974">
      <w:bodyDiv w:val="1"/>
      <w:marLeft w:val="0"/>
      <w:marRight w:val="0"/>
      <w:marTop w:val="0"/>
      <w:marBottom w:val="0"/>
      <w:divBdr>
        <w:top w:val="none" w:sz="0" w:space="0" w:color="auto"/>
        <w:left w:val="none" w:sz="0" w:space="0" w:color="auto"/>
        <w:bottom w:val="none" w:sz="0" w:space="0" w:color="auto"/>
        <w:right w:val="none" w:sz="0" w:space="0" w:color="auto"/>
      </w:divBdr>
    </w:div>
    <w:div w:id="1116413878">
      <w:bodyDiv w:val="1"/>
      <w:marLeft w:val="0"/>
      <w:marRight w:val="0"/>
      <w:marTop w:val="0"/>
      <w:marBottom w:val="0"/>
      <w:divBdr>
        <w:top w:val="none" w:sz="0" w:space="0" w:color="auto"/>
        <w:left w:val="none" w:sz="0" w:space="0" w:color="auto"/>
        <w:bottom w:val="none" w:sz="0" w:space="0" w:color="auto"/>
        <w:right w:val="none" w:sz="0" w:space="0" w:color="auto"/>
      </w:divBdr>
    </w:div>
    <w:div w:id="1306088174">
      <w:bodyDiv w:val="1"/>
      <w:marLeft w:val="0"/>
      <w:marRight w:val="0"/>
      <w:marTop w:val="0"/>
      <w:marBottom w:val="0"/>
      <w:divBdr>
        <w:top w:val="none" w:sz="0" w:space="0" w:color="auto"/>
        <w:left w:val="none" w:sz="0" w:space="0" w:color="auto"/>
        <w:bottom w:val="none" w:sz="0" w:space="0" w:color="auto"/>
        <w:right w:val="none" w:sz="0" w:space="0" w:color="auto"/>
      </w:divBdr>
    </w:div>
    <w:div w:id="1370378452">
      <w:bodyDiv w:val="1"/>
      <w:marLeft w:val="0"/>
      <w:marRight w:val="0"/>
      <w:marTop w:val="0"/>
      <w:marBottom w:val="0"/>
      <w:divBdr>
        <w:top w:val="none" w:sz="0" w:space="0" w:color="auto"/>
        <w:left w:val="none" w:sz="0" w:space="0" w:color="auto"/>
        <w:bottom w:val="none" w:sz="0" w:space="0" w:color="auto"/>
        <w:right w:val="none" w:sz="0" w:space="0" w:color="auto"/>
      </w:divBdr>
    </w:div>
    <w:div w:id="1482308827">
      <w:bodyDiv w:val="1"/>
      <w:marLeft w:val="0"/>
      <w:marRight w:val="0"/>
      <w:marTop w:val="0"/>
      <w:marBottom w:val="0"/>
      <w:divBdr>
        <w:top w:val="none" w:sz="0" w:space="0" w:color="auto"/>
        <w:left w:val="none" w:sz="0" w:space="0" w:color="auto"/>
        <w:bottom w:val="none" w:sz="0" w:space="0" w:color="auto"/>
        <w:right w:val="none" w:sz="0" w:space="0" w:color="auto"/>
      </w:divBdr>
    </w:div>
    <w:div w:id="1613395429">
      <w:bodyDiv w:val="1"/>
      <w:marLeft w:val="0"/>
      <w:marRight w:val="0"/>
      <w:marTop w:val="0"/>
      <w:marBottom w:val="0"/>
      <w:divBdr>
        <w:top w:val="none" w:sz="0" w:space="0" w:color="auto"/>
        <w:left w:val="none" w:sz="0" w:space="0" w:color="auto"/>
        <w:bottom w:val="none" w:sz="0" w:space="0" w:color="auto"/>
        <w:right w:val="none" w:sz="0" w:space="0" w:color="auto"/>
      </w:divBdr>
    </w:div>
    <w:div w:id="198215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image" Target="media/image14.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7.emf"/><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image" Target="media/image13.emf"/><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emf"/><Relationship Id="rId20" Type="http://schemas.openxmlformats.org/officeDocument/2006/relationships/image" Target="media/image16.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24" Type="http://schemas.openxmlformats.org/officeDocument/2006/relationships/image" Target="media/image20.emf"/><Relationship Id="rId5" Type="http://schemas.openxmlformats.org/officeDocument/2006/relationships/image" Target="media/image1.png"/><Relationship Id="rId15" Type="http://schemas.openxmlformats.org/officeDocument/2006/relationships/image" Target="media/image11.emf"/><Relationship Id="rId23" Type="http://schemas.openxmlformats.org/officeDocument/2006/relationships/image" Target="media/image19.emf"/><Relationship Id="rId10" Type="http://schemas.openxmlformats.org/officeDocument/2006/relationships/image" Target="media/image6.emf"/><Relationship Id="rId19" Type="http://schemas.openxmlformats.org/officeDocument/2006/relationships/image" Target="media/image15.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 Id="rId22" Type="http://schemas.openxmlformats.org/officeDocument/2006/relationships/image" Target="media/image18.emf"/><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4842</Words>
  <Characters>26634</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Gerardo Garabito</dc:creator>
  <cp:keywords/>
  <dc:description/>
  <cp:lastModifiedBy>Transparencia</cp:lastModifiedBy>
  <cp:revision>2</cp:revision>
  <cp:lastPrinted>2019-03-12T01:13:00Z</cp:lastPrinted>
  <dcterms:created xsi:type="dcterms:W3CDTF">2019-05-07T18:21:00Z</dcterms:created>
  <dcterms:modified xsi:type="dcterms:W3CDTF">2019-05-07T18:21:00Z</dcterms:modified>
</cp:coreProperties>
</file>